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6064B8" w14:textId="77777777" w:rsidR="00C458ED" w:rsidRPr="009A190B" w:rsidRDefault="00C458ED" w:rsidP="0092693A">
      <w:pPr>
        <w:pBdr>
          <w:top w:val="single" w:sz="4" w:space="1" w:color="auto"/>
          <w:bottom w:val="single" w:sz="4" w:space="1" w:color="auto"/>
        </w:pBdr>
        <w:shd w:val="clear" w:color="auto" w:fill="262626" w:themeFill="text1" w:themeFillTint="D9"/>
        <w:jc w:val="center"/>
        <w:rPr>
          <w:rFonts w:asciiTheme="majorHAnsi" w:hAnsiTheme="majorHAnsi" w:cstheme="majorHAnsi"/>
          <w:b/>
          <w:smallCaps/>
        </w:rPr>
      </w:pPr>
      <w:r w:rsidRPr="009A190B">
        <w:rPr>
          <w:rFonts w:asciiTheme="majorHAnsi" w:hAnsiTheme="majorHAnsi" w:cstheme="majorHAnsi"/>
          <w:b/>
          <w:smallCaps/>
        </w:rPr>
        <w:t>Instructions</w:t>
      </w:r>
    </w:p>
    <w:p w14:paraId="6104C554" w14:textId="77777777" w:rsidR="00AF4858" w:rsidRPr="009A190B" w:rsidRDefault="0092693A" w:rsidP="00A15A8C">
      <w:pPr>
        <w:pBdr>
          <w:bottom w:val="single" w:sz="4" w:space="1" w:color="auto"/>
        </w:pBdr>
        <w:rPr>
          <w:rFonts w:asciiTheme="majorHAnsi" w:hAnsiTheme="majorHAnsi" w:cstheme="majorHAnsi"/>
        </w:rPr>
      </w:pPr>
      <w:r w:rsidRPr="009A190B">
        <w:rPr>
          <w:rFonts w:asciiTheme="majorHAnsi" w:hAnsiTheme="majorHAnsi" w:cstheme="majorHAnsi"/>
        </w:rPr>
        <w:t>Please supply requested information in the blue-shaded areas and indicate any attachments that have been included.</w:t>
      </w:r>
      <w:r w:rsidR="00AF4858" w:rsidRPr="009A190B">
        <w:rPr>
          <w:rFonts w:asciiTheme="majorHAnsi" w:hAnsiTheme="majorHAnsi" w:cstheme="majorHAnsi"/>
        </w:rPr>
        <w:t xml:space="preserve">  </w:t>
      </w:r>
      <w:r w:rsidR="00E86145" w:rsidRPr="009A190B">
        <w:rPr>
          <w:rFonts w:asciiTheme="majorHAnsi" w:hAnsiTheme="majorHAnsi" w:cstheme="majorHAnsi"/>
        </w:rPr>
        <w:t xml:space="preserve">Where appropriate, supporting documentation may be referenced by specific page and/or paragraph number(s). </w:t>
      </w:r>
    </w:p>
    <w:p w14:paraId="0F13033B" w14:textId="77777777" w:rsidR="00AF4858" w:rsidRPr="009A190B" w:rsidRDefault="00AF4858" w:rsidP="00A15A8C">
      <w:pPr>
        <w:pBdr>
          <w:bottom w:val="single" w:sz="4" w:space="1" w:color="auto"/>
        </w:pBdr>
        <w:rPr>
          <w:rFonts w:asciiTheme="majorHAnsi" w:hAnsiTheme="majorHAnsi" w:cstheme="majorHAnsi"/>
        </w:rPr>
      </w:pPr>
    </w:p>
    <w:p w14:paraId="676FAE7F" w14:textId="77777777" w:rsidR="00AF4858" w:rsidRPr="009A190B" w:rsidRDefault="00E86145" w:rsidP="00AF4858">
      <w:pPr>
        <w:pBdr>
          <w:bottom w:val="single" w:sz="4" w:space="1" w:color="auto"/>
        </w:pBdr>
        <w:rPr>
          <w:rFonts w:asciiTheme="majorHAnsi" w:hAnsiTheme="majorHAnsi" w:cstheme="majorHAnsi"/>
          <w:b/>
          <w:bCs/>
        </w:rPr>
      </w:pPr>
      <w:r w:rsidRPr="009A190B">
        <w:rPr>
          <w:rFonts w:asciiTheme="majorHAnsi" w:hAnsiTheme="majorHAnsi" w:cstheme="majorHAnsi"/>
          <w:b/>
          <w:bCs/>
        </w:rPr>
        <w:t>If any of this response contains confidential information,</w:t>
      </w:r>
      <w:r w:rsidR="005E02CB" w:rsidRPr="009A190B">
        <w:rPr>
          <w:rFonts w:asciiTheme="majorHAnsi" w:hAnsiTheme="majorHAnsi" w:cstheme="majorHAnsi"/>
          <w:b/>
          <w:bCs/>
        </w:rPr>
        <w:t xml:space="preserve"> as defined by IC 5-14-3, provide a </w:t>
      </w:r>
      <w:r w:rsidR="00AF4858" w:rsidRPr="009A190B">
        <w:rPr>
          <w:rFonts w:asciiTheme="majorHAnsi" w:hAnsiTheme="majorHAnsi" w:cstheme="majorHAnsi"/>
          <w:b/>
          <w:bCs/>
        </w:rPr>
        <w:t>separate</w:t>
      </w:r>
      <w:r w:rsidR="005E02CB" w:rsidRPr="009A190B">
        <w:rPr>
          <w:rFonts w:asciiTheme="majorHAnsi" w:hAnsiTheme="majorHAnsi" w:cstheme="majorHAnsi"/>
          <w:b/>
          <w:bCs/>
        </w:rPr>
        <w:t xml:space="preserve"> redacted (for public release) version of this </w:t>
      </w:r>
      <w:r w:rsidR="00082C7C" w:rsidRPr="009A190B">
        <w:rPr>
          <w:rFonts w:asciiTheme="majorHAnsi" w:hAnsiTheme="majorHAnsi" w:cstheme="majorHAnsi"/>
          <w:b/>
          <w:bCs/>
        </w:rPr>
        <w:t xml:space="preserve">document.  </w:t>
      </w:r>
      <w:r w:rsidR="00AF4858" w:rsidRPr="009A190B">
        <w:rPr>
          <w:rFonts w:asciiTheme="majorHAnsi" w:hAnsiTheme="majorHAnsi" w:cstheme="majorHAnsi"/>
          <w:b/>
          <w:bCs/>
        </w:rPr>
        <w:t xml:space="preserve">Specify which statutory exception of APRA applies </w:t>
      </w:r>
      <w:r w:rsidR="00082C7C" w:rsidRPr="009A190B">
        <w:rPr>
          <w:rFonts w:asciiTheme="majorHAnsi" w:hAnsiTheme="majorHAnsi" w:cstheme="majorHAnsi"/>
          <w:b/>
          <w:bCs/>
        </w:rPr>
        <w:t>and p</w:t>
      </w:r>
      <w:r w:rsidR="00AF4858" w:rsidRPr="009A190B">
        <w:rPr>
          <w:rFonts w:asciiTheme="majorHAnsi" w:hAnsiTheme="majorHAnsi" w:cstheme="majorHAnsi"/>
          <w:b/>
          <w:bCs/>
        </w:rPr>
        <w:t>rovide a description explaining the manner in which the statutor</w:t>
      </w:r>
      <w:r w:rsidR="00082C7C" w:rsidRPr="009A190B">
        <w:rPr>
          <w:rFonts w:asciiTheme="majorHAnsi" w:hAnsiTheme="majorHAnsi" w:cstheme="majorHAnsi"/>
          <w:b/>
          <w:bCs/>
        </w:rPr>
        <w:t>y exception to the APRA applies</w:t>
      </w:r>
      <w:r w:rsidR="00AF4858" w:rsidRPr="009A190B">
        <w:rPr>
          <w:rFonts w:asciiTheme="majorHAnsi" w:hAnsiTheme="majorHAnsi" w:cstheme="majorHAnsi"/>
          <w:b/>
          <w:bCs/>
        </w:rPr>
        <w:t>.</w:t>
      </w:r>
    </w:p>
    <w:p w14:paraId="42862397" w14:textId="77777777" w:rsidR="0092693A" w:rsidRPr="009A190B" w:rsidRDefault="0092693A" w:rsidP="00685FD0">
      <w:pPr>
        <w:rPr>
          <w:rFonts w:asciiTheme="majorHAnsi" w:hAnsiTheme="majorHAnsi" w:cstheme="majorHAnsi"/>
          <w:b/>
          <w:smallCaps/>
        </w:rPr>
      </w:pPr>
    </w:p>
    <w:p w14:paraId="2F102F73" w14:textId="72FB1A3C" w:rsidR="00CA57A4" w:rsidRPr="009A190B" w:rsidRDefault="00CA57A4" w:rsidP="00685FD0">
      <w:pPr>
        <w:rPr>
          <w:rFonts w:asciiTheme="majorHAnsi" w:hAnsiTheme="majorHAnsi" w:cstheme="majorHAnsi"/>
          <w:b/>
          <w:smallCaps/>
          <w:u w:val="single"/>
        </w:rPr>
      </w:pPr>
      <w:r w:rsidRPr="009A190B">
        <w:rPr>
          <w:rFonts w:asciiTheme="majorHAnsi" w:hAnsiTheme="majorHAnsi" w:cstheme="majorHAnsi"/>
          <w:b/>
          <w:smallCaps/>
          <w:u w:val="single"/>
        </w:rPr>
        <w:t>Respondent Name:</w:t>
      </w:r>
      <w:r w:rsidR="00B17199" w:rsidRPr="009A190B">
        <w:rPr>
          <w:rFonts w:asciiTheme="majorHAnsi" w:hAnsiTheme="majorHAnsi" w:cstheme="majorHAnsi"/>
          <w:b/>
          <w:smallCaps/>
        </w:rPr>
        <w:t xml:space="preserve"> </w:t>
      </w:r>
      <w:r w:rsidR="00591548" w:rsidRPr="009A190B">
        <w:rPr>
          <w:rFonts w:asciiTheme="majorHAnsi" w:hAnsiTheme="majorHAnsi" w:cstheme="majorHAnsi"/>
          <w:b/>
          <w:smallCaps/>
        </w:rPr>
        <w:t xml:space="preserve"> </w:t>
      </w:r>
      <w:r w:rsidR="00591548" w:rsidRPr="009A190B">
        <w:rPr>
          <w:rFonts w:asciiTheme="majorHAnsi" w:hAnsiTheme="majorHAnsi" w:cstheme="majorHAnsi"/>
          <w:b/>
        </w:rPr>
        <w:t>Axon Enterprise, Inc</w:t>
      </w:r>
    </w:p>
    <w:p w14:paraId="3FD170C4" w14:textId="77777777" w:rsidR="00C43DF7" w:rsidRPr="009A190B" w:rsidRDefault="00C43DF7" w:rsidP="001844F8">
      <w:pPr>
        <w:rPr>
          <w:rFonts w:asciiTheme="majorHAnsi" w:hAnsiTheme="majorHAnsi" w:cstheme="majorHAnsi"/>
        </w:rPr>
      </w:pPr>
    </w:p>
    <w:p w14:paraId="54420252" w14:textId="3AD394F3" w:rsidR="00C43DF7" w:rsidRPr="009A190B" w:rsidRDefault="00C43DF7" w:rsidP="00C43DF7">
      <w:pPr>
        <w:spacing w:line="240" w:lineRule="auto"/>
        <w:rPr>
          <w:rFonts w:asciiTheme="majorHAnsi" w:hAnsiTheme="majorHAnsi" w:cstheme="majorHAnsi"/>
          <w:b/>
          <w:smallCaps/>
        </w:rPr>
      </w:pPr>
      <w:r w:rsidRPr="009A190B">
        <w:rPr>
          <w:rFonts w:asciiTheme="majorHAnsi" w:hAnsiTheme="majorHAnsi" w:cstheme="majorHAnsi"/>
          <w:b/>
          <w:smallCaps/>
        </w:rPr>
        <w:t xml:space="preserve">Attachment </w:t>
      </w:r>
      <w:r w:rsidR="00591548" w:rsidRPr="009A190B">
        <w:rPr>
          <w:rFonts w:asciiTheme="majorHAnsi" w:hAnsiTheme="majorHAnsi" w:cstheme="majorHAnsi"/>
          <w:b/>
          <w:smallCaps/>
        </w:rPr>
        <w:t>D</w:t>
      </w:r>
      <w:r w:rsidRPr="009A190B">
        <w:rPr>
          <w:rFonts w:asciiTheme="majorHAnsi" w:hAnsiTheme="majorHAnsi" w:cstheme="majorHAnsi"/>
          <w:b/>
          <w:smallCaps/>
        </w:rPr>
        <w:t xml:space="preserve"> – </w:t>
      </w:r>
      <w:r w:rsidR="00591548" w:rsidRPr="009A190B">
        <w:rPr>
          <w:rFonts w:asciiTheme="majorHAnsi" w:hAnsiTheme="majorHAnsi" w:cstheme="majorHAnsi"/>
          <w:b/>
          <w:smallCaps/>
        </w:rPr>
        <w:t>Cost Proposal</w:t>
      </w:r>
    </w:p>
    <w:p w14:paraId="62060352" w14:textId="77777777" w:rsidR="0019766A" w:rsidRPr="009A190B" w:rsidRDefault="0019766A" w:rsidP="00C43DF7">
      <w:pPr>
        <w:spacing w:line="240" w:lineRule="auto"/>
        <w:rPr>
          <w:rFonts w:asciiTheme="majorHAnsi" w:hAnsiTheme="majorHAnsi" w:cstheme="majorHAnsi"/>
          <w:b/>
          <w:smallCaps/>
          <w:color w:val="FF0000"/>
        </w:rPr>
      </w:pPr>
    </w:p>
    <w:p w14:paraId="2AC74C3A" w14:textId="672206B8" w:rsidR="00BC7440" w:rsidRPr="009A190B" w:rsidRDefault="00FF237D" w:rsidP="00BC7440">
      <w:pPr>
        <w:pStyle w:val="ListParagraph"/>
        <w:numPr>
          <w:ilvl w:val="0"/>
          <w:numId w:val="1"/>
        </w:numPr>
        <w:rPr>
          <w:rFonts w:asciiTheme="majorHAnsi" w:hAnsiTheme="majorHAnsi" w:cstheme="majorHAnsi"/>
        </w:rPr>
      </w:pPr>
      <w:r w:rsidRPr="009A190B">
        <w:rPr>
          <w:rFonts w:asciiTheme="majorHAnsi" w:hAnsiTheme="majorHAnsi" w:cstheme="majorHAnsi"/>
        </w:rPr>
        <w:t xml:space="preserve">Was </w:t>
      </w:r>
      <w:r w:rsidR="0012715B" w:rsidRPr="009A190B">
        <w:rPr>
          <w:rFonts w:asciiTheme="majorHAnsi" w:hAnsiTheme="majorHAnsi" w:cstheme="majorHAnsi"/>
        </w:rPr>
        <w:t>the Pro</w:t>
      </w:r>
      <w:r w:rsidR="008B10B1" w:rsidRPr="009A190B">
        <w:rPr>
          <w:rFonts w:asciiTheme="majorHAnsi" w:hAnsiTheme="majorHAnsi" w:cstheme="majorHAnsi"/>
        </w:rPr>
        <w:t>+</w:t>
      </w:r>
      <w:r w:rsidR="0012715B" w:rsidRPr="009A190B">
        <w:rPr>
          <w:rFonts w:asciiTheme="majorHAnsi" w:hAnsiTheme="majorHAnsi" w:cstheme="majorHAnsi"/>
        </w:rPr>
        <w:t xml:space="preserve"> </w:t>
      </w:r>
      <w:r w:rsidRPr="009A190B">
        <w:rPr>
          <w:rFonts w:asciiTheme="majorHAnsi" w:hAnsiTheme="majorHAnsi" w:cstheme="majorHAnsi"/>
        </w:rPr>
        <w:t>license cost included anywhere in the Cost Proposal</w:t>
      </w:r>
      <w:r w:rsidR="0012715B" w:rsidRPr="009A190B">
        <w:rPr>
          <w:rFonts w:asciiTheme="majorHAnsi" w:hAnsiTheme="majorHAnsi" w:cstheme="majorHAnsi"/>
        </w:rPr>
        <w:t>?</w:t>
      </w:r>
      <w:r w:rsidR="001844F8" w:rsidRPr="009A190B">
        <w:rPr>
          <w:rFonts w:asciiTheme="majorHAnsi" w:hAnsiTheme="majorHAnsi" w:cstheme="majorHAnsi"/>
        </w:rPr>
        <w:t xml:space="preserve">  If not, please update the cost proposal </w:t>
      </w:r>
      <w:r w:rsidR="00BC7440" w:rsidRPr="009A190B">
        <w:rPr>
          <w:rFonts w:asciiTheme="majorHAnsi" w:hAnsiTheme="majorHAnsi" w:cstheme="majorHAnsi"/>
        </w:rPr>
        <w:t xml:space="preserve">to include pricing for 13 Pro+ licenses. </w:t>
      </w:r>
    </w:p>
    <w:tbl>
      <w:tblPr>
        <w:tblStyle w:val="TableGrid"/>
        <w:tblW w:w="0" w:type="auto"/>
        <w:tblInd w:w="360" w:type="dxa"/>
        <w:tblLook w:val="04A0" w:firstRow="1" w:lastRow="0" w:firstColumn="1" w:lastColumn="0" w:noHBand="0" w:noVBand="1"/>
      </w:tblPr>
      <w:tblGrid>
        <w:gridCol w:w="14030"/>
      </w:tblGrid>
      <w:tr w:rsidR="005B4AA9" w:rsidRPr="009A190B" w14:paraId="3E66CFED" w14:textId="77777777" w:rsidTr="00311665">
        <w:tc>
          <w:tcPr>
            <w:tcW w:w="14390" w:type="dxa"/>
            <w:shd w:val="clear" w:color="auto" w:fill="D9E2F3" w:themeFill="accent5" w:themeFillTint="33"/>
          </w:tcPr>
          <w:p w14:paraId="0E64719A" w14:textId="3C18C3AD" w:rsidR="005B4AA9" w:rsidRPr="009A190B" w:rsidRDefault="0043600A" w:rsidP="00311665">
            <w:pPr>
              <w:rPr>
                <w:rFonts w:asciiTheme="majorHAnsi" w:hAnsiTheme="majorHAnsi" w:cstheme="majorHAnsi"/>
              </w:rPr>
            </w:pPr>
            <w:r w:rsidRPr="009A190B">
              <w:rPr>
                <w:rFonts w:asciiTheme="majorHAnsi" w:hAnsiTheme="majorHAnsi" w:cstheme="majorHAnsi"/>
              </w:rPr>
              <w:t>Pro+ license was not included in the original proposal. Axon will include 13 Pro+ license</w:t>
            </w:r>
            <w:r w:rsidRPr="009A190B">
              <w:rPr>
                <w:rFonts w:asciiTheme="majorHAnsi" w:hAnsiTheme="majorHAnsi" w:cstheme="majorHAnsi"/>
              </w:rPr>
              <w:t>s</w:t>
            </w:r>
            <w:r w:rsidRPr="009A190B">
              <w:rPr>
                <w:rFonts w:asciiTheme="majorHAnsi" w:hAnsiTheme="majorHAnsi" w:cstheme="majorHAnsi"/>
              </w:rPr>
              <w:t xml:space="preserve"> gratis as part of the updated proposal.</w:t>
            </w:r>
          </w:p>
        </w:tc>
      </w:tr>
    </w:tbl>
    <w:p w14:paraId="09438CAB" w14:textId="77777777" w:rsidR="005B4AA9" w:rsidRPr="009A190B" w:rsidRDefault="005B4AA9" w:rsidP="005B4AA9">
      <w:pPr>
        <w:pStyle w:val="ListParagraph"/>
        <w:rPr>
          <w:rFonts w:asciiTheme="majorHAnsi" w:hAnsiTheme="majorHAnsi" w:cstheme="majorHAnsi"/>
        </w:rPr>
      </w:pPr>
    </w:p>
    <w:p w14:paraId="7F78403A" w14:textId="576D9DBC" w:rsidR="005B4AA9" w:rsidRPr="009A190B" w:rsidRDefault="0019766A" w:rsidP="005B4AA9">
      <w:pPr>
        <w:pStyle w:val="ListParagraph"/>
        <w:numPr>
          <w:ilvl w:val="0"/>
          <w:numId w:val="1"/>
        </w:numPr>
        <w:rPr>
          <w:rFonts w:asciiTheme="majorHAnsi" w:hAnsiTheme="majorHAnsi" w:cstheme="majorHAnsi"/>
        </w:rPr>
      </w:pPr>
      <w:r w:rsidRPr="009A190B">
        <w:rPr>
          <w:rFonts w:asciiTheme="majorHAnsi" w:hAnsiTheme="majorHAnsi" w:cstheme="majorHAnsi"/>
        </w:rPr>
        <w:t>On the “BWC Solutions”</w:t>
      </w:r>
      <w:r w:rsidR="00BC7440" w:rsidRPr="009A190B">
        <w:rPr>
          <w:rFonts w:asciiTheme="majorHAnsi" w:hAnsiTheme="majorHAnsi" w:cstheme="majorHAnsi"/>
        </w:rPr>
        <w:t xml:space="preserve"> tab,</w:t>
      </w:r>
      <w:r w:rsidRPr="009A190B">
        <w:rPr>
          <w:rFonts w:asciiTheme="majorHAnsi" w:hAnsiTheme="majorHAnsi" w:cstheme="majorHAnsi"/>
        </w:rPr>
        <w:t xml:space="preserve"> </w:t>
      </w:r>
      <w:r w:rsidR="00BC7440" w:rsidRPr="009A190B">
        <w:rPr>
          <w:rFonts w:asciiTheme="majorHAnsi" w:hAnsiTheme="majorHAnsi" w:cstheme="majorHAnsi"/>
        </w:rPr>
        <w:t>please update each solution to include 200 extra sidearm sensors.</w:t>
      </w:r>
    </w:p>
    <w:tbl>
      <w:tblPr>
        <w:tblStyle w:val="TableGrid"/>
        <w:tblW w:w="0" w:type="auto"/>
        <w:tblInd w:w="360" w:type="dxa"/>
        <w:tblLook w:val="04A0" w:firstRow="1" w:lastRow="0" w:firstColumn="1" w:lastColumn="0" w:noHBand="0" w:noVBand="1"/>
      </w:tblPr>
      <w:tblGrid>
        <w:gridCol w:w="14030"/>
      </w:tblGrid>
      <w:tr w:rsidR="005B4AA9" w:rsidRPr="009A190B" w14:paraId="478CB4BB" w14:textId="77777777" w:rsidTr="0019766A">
        <w:tc>
          <w:tcPr>
            <w:tcW w:w="14030" w:type="dxa"/>
            <w:shd w:val="clear" w:color="auto" w:fill="D9E2F3" w:themeFill="accent5" w:themeFillTint="33"/>
          </w:tcPr>
          <w:p w14:paraId="4344F58B" w14:textId="4DEFB6AC" w:rsidR="005B4AA9" w:rsidRPr="009A190B" w:rsidRDefault="00C7207F" w:rsidP="00311665">
            <w:pPr>
              <w:rPr>
                <w:rFonts w:asciiTheme="majorHAnsi" w:hAnsiTheme="majorHAnsi" w:cstheme="majorHAnsi"/>
              </w:rPr>
            </w:pPr>
            <w:r w:rsidRPr="009A190B">
              <w:rPr>
                <w:rFonts w:asciiTheme="majorHAnsi" w:hAnsiTheme="majorHAnsi" w:cstheme="majorHAnsi"/>
              </w:rPr>
              <w:t>Please see attached.</w:t>
            </w:r>
          </w:p>
        </w:tc>
      </w:tr>
    </w:tbl>
    <w:p w14:paraId="2D1E0D82" w14:textId="3D9F8107" w:rsidR="00E719AD" w:rsidRPr="009A190B" w:rsidRDefault="00E719AD" w:rsidP="00591548">
      <w:pPr>
        <w:rPr>
          <w:rFonts w:asciiTheme="majorHAnsi" w:hAnsiTheme="majorHAnsi" w:cstheme="majorHAnsi"/>
        </w:rPr>
      </w:pPr>
    </w:p>
    <w:p w14:paraId="62DC573D" w14:textId="702A6337" w:rsidR="00BC7440" w:rsidRPr="009A190B" w:rsidRDefault="00BC7440" w:rsidP="00BC7440">
      <w:pPr>
        <w:pStyle w:val="ListParagraph"/>
        <w:numPr>
          <w:ilvl w:val="0"/>
          <w:numId w:val="1"/>
        </w:numPr>
        <w:rPr>
          <w:rFonts w:asciiTheme="majorHAnsi" w:hAnsiTheme="majorHAnsi" w:cstheme="majorHAnsi"/>
          <w:color w:val="000000" w:themeColor="text1"/>
        </w:rPr>
      </w:pPr>
      <w:r w:rsidRPr="009A190B">
        <w:rPr>
          <w:rFonts w:asciiTheme="majorHAnsi" w:hAnsiTheme="majorHAnsi" w:cstheme="majorHAnsi"/>
          <w:color w:val="000000" w:themeColor="text1"/>
        </w:rPr>
        <w:t>Why was the Fleet 2 proposed instead of the Fleet 3?  What is the price difference?  If the rear seat camera is removed from the package, could the Fleet 3 be proposed instead of the Fleet 2 at the same price?  How soon will the Fleet 2 be obsolete?</w:t>
      </w:r>
    </w:p>
    <w:tbl>
      <w:tblPr>
        <w:tblStyle w:val="TableGrid"/>
        <w:tblW w:w="0" w:type="auto"/>
        <w:tblInd w:w="360" w:type="dxa"/>
        <w:tblLook w:val="04A0" w:firstRow="1" w:lastRow="0" w:firstColumn="1" w:lastColumn="0" w:noHBand="0" w:noVBand="1"/>
      </w:tblPr>
      <w:tblGrid>
        <w:gridCol w:w="14030"/>
      </w:tblGrid>
      <w:tr w:rsidR="00BC7440" w:rsidRPr="009A190B" w14:paraId="6AB71E22" w14:textId="77777777" w:rsidTr="00D73F7E">
        <w:tc>
          <w:tcPr>
            <w:tcW w:w="14030" w:type="dxa"/>
            <w:shd w:val="clear" w:color="auto" w:fill="D9E2F3" w:themeFill="accent5" w:themeFillTint="33"/>
          </w:tcPr>
          <w:p w14:paraId="3A0B9DF2" w14:textId="6E407A67" w:rsidR="00BC7440" w:rsidRPr="009A190B" w:rsidRDefault="00C7207F" w:rsidP="00D73F7E">
            <w:pPr>
              <w:rPr>
                <w:rFonts w:asciiTheme="majorHAnsi" w:hAnsiTheme="majorHAnsi" w:cstheme="majorHAnsi"/>
              </w:rPr>
            </w:pPr>
            <w:r w:rsidRPr="009A190B">
              <w:rPr>
                <w:rFonts w:asciiTheme="majorHAnsi" w:hAnsiTheme="majorHAnsi" w:cstheme="majorHAnsi"/>
              </w:rPr>
              <w:t>F</w:t>
            </w:r>
            <w:r w:rsidRPr="009A190B">
              <w:rPr>
                <w:rFonts w:asciiTheme="majorHAnsi" w:hAnsiTheme="majorHAnsi" w:cstheme="majorHAnsi"/>
              </w:rPr>
              <w:t>leet 2 was initially proposed because of the tight timeline associated with Indiana State Police's RFP. Axon Fleet 3 will be released in July 2021. Axon will honor Axon Fleet 2 pricing on Axon Fleet 3 for Indiana State Police. If Indiana State Police made the decision to deploy Axon Fleet 3 in lieu of Axon Fleet 2, Axon would still commit to 90 day installation and deployment of body-worn cameras from award date. Axon Fleet 3 install and deployment would have its own 90 day deployment and install scheduled but with a delayed start. Axon is committed to developing an install and deployment schedule that works for Indiana State Police. Axon Fleet 2 will be supported for a minimum of 5 years after EOL, at this time there is no timeline for EOL Axon Fleet 2.</w:t>
            </w:r>
          </w:p>
        </w:tc>
      </w:tr>
    </w:tbl>
    <w:p w14:paraId="2B25C3FC" w14:textId="77777777" w:rsidR="00BC7440" w:rsidRPr="009A190B" w:rsidRDefault="00BC7440" w:rsidP="00591548">
      <w:pPr>
        <w:rPr>
          <w:rFonts w:asciiTheme="majorHAnsi" w:hAnsiTheme="majorHAnsi" w:cstheme="majorHAnsi"/>
        </w:rPr>
      </w:pPr>
    </w:p>
    <w:p w14:paraId="37DD7B78" w14:textId="77777777" w:rsidR="00A047E9" w:rsidRDefault="00A047E9">
      <w:pPr>
        <w:rPr>
          <w:rFonts w:asciiTheme="majorHAnsi" w:hAnsiTheme="majorHAnsi" w:cstheme="majorHAnsi"/>
          <w:b/>
          <w:smallCaps/>
        </w:rPr>
      </w:pPr>
      <w:r>
        <w:rPr>
          <w:rFonts w:asciiTheme="majorHAnsi" w:hAnsiTheme="majorHAnsi" w:cstheme="majorHAnsi"/>
          <w:b/>
          <w:smallCaps/>
        </w:rPr>
        <w:br w:type="page"/>
      </w:r>
    </w:p>
    <w:p w14:paraId="1EA299F2" w14:textId="2BA36EC6" w:rsidR="00591548" w:rsidRPr="009A190B" w:rsidRDefault="00591548" w:rsidP="00591548">
      <w:pPr>
        <w:spacing w:line="240" w:lineRule="auto"/>
        <w:rPr>
          <w:rFonts w:asciiTheme="majorHAnsi" w:hAnsiTheme="majorHAnsi" w:cstheme="majorHAnsi"/>
          <w:b/>
          <w:smallCaps/>
        </w:rPr>
      </w:pPr>
      <w:r w:rsidRPr="009A190B">
        <w:rPr>
          <w:rFonts w:asciiTheme="majorHAnsi" w:hAnsiTheme="majorHAnsi" w:cstheme="majorHAnsi"/>
          <w:b/>
          <w:smallCaps/>
        </w:rPr>
        <w:lastRenderedPageBreak/>
        <w:t xml:space="preserve">Attachment F – Technical Proposal </w:t>
      </w:r>
    </w:p>
    <w:p w14:paraId="44DF6380" w14:textId="77777777" w:rsidR="00591548" w:rsidRPr="009A190B" w:rsidRDefault="00591548" w:rsidP="001844F8">
      <w:pPr>
        <w:rPr>
          <w:rFonts w:asciiTheme="majorHAnsi" w:hAnsiTheme="majorHAnsi" w:cstheme="majorHAnsi"/>
          <w:szCs w:val="24"/>
        </w:rPr>
      </w:pPr>
    </w:p>
    <w:p w14:paraId="48F90389" w14:textId="33B56624" w:rsidR="00591548" w:rsidRPr="009A190B" w:rsidRDefault="00106777" w:rsidP="00591548">
      <w:pPr>
        <w:pStyle w:val="ListParagraph"/>
        <w:numPr>
          <w:ilvl w:val="0"/>
          <w:numId w:val="1"/>
        </w:numPr>
        <w:rPr>
          <w:rFonts w:asciiTheme="majorHAnsi" w:hAnsiTheme="majorHAnsi" w:cstheme="majorHAnsi"/>
          <w:szCs w:val="24"/>
        </w:rPr>
      </w:pPr>
      <w:r w:rsidRPr="009A190B">
        <w:rPr>
          <w:rFonts w:asciiTheme="majorHAnsi" w:hAnsiTheme="majorHAnsi" w:cstheme="majorHAnsi"/>
          <w:szCs w:val="24"/>
        </w:rPr>
        <w:t xml:space="preserve">2.4.2.2 </w:t>
      </w:r>
      <w:r w:rsidR="00931692" w:rsidRPr="009A190B">
        <w:rPr>
          <w:rFonts w:asciiTheme="majorHAnsi" w:hAnsiTheme="majorHAnsi" w:cstheme="majorHAnsi"/>
          <w:szCs w:val="24"/>
        </w:rPr>
        <w:t xml:space="preserve">(Basic Plan) </w:t>
      </w:r>
      <w:r w:rsidRPr="009A190B">
        <w:rPr>
          <w:rFonts w:asciiTheme="majorHAnsi" w:hAnsiTheme="majorHAnsi" w:cstheme="majorHAnsi"/>
          <w:szCs w:val="24"/>
        </w:rPr>
        <w:t xml:space="preserve">– </w:t>
      </w:r>
      <w:r w:rsidR="001844F8" w:rsidRPr="009A190B">
        <w:rPr>
          <w:rFonts w:asciiTheme="majorHAnsi" w:hAnsiTheme="majorHAnsi" w:cstheme="majorHAnsi"/>
          <w:szCs w:val="24"/>
        </w:rPr>
        <w:t xml:space="preserve">Please confirm that Tier 1 has 24x7 support.  </w:t>
      </w:r>
    </w:p>
    <w:tbl>
      <w:tblPr>
        <w:tblStyle w:val="TableGrid"/>
        <w:tblW w:w="0" w:type="auto"/>
        <w:tblInd w:w="360" w:type="dxa"/>
        <w:tblLook w:val="04A0" w:firstRow="1" w:lastRow="0" w:firstColumn="1" w:lastColumn="0" w:noHBand="0" w:noVBand="1"/>
      </w:tblPr>
      <w:tblGrid>
        <w:gridCol w:w="14030"/>
      </w:tblGrid>
      <w:tr w:rsidR="00591548" w:rsidRPr="009A190B" w14:paraId="4A286D0F" w14:textId="77777777" w:rsidTr="001257C8">
        <w:tc>
          <w:tcPr>
            <w:tcW w:w="14390" w:type="dxa"/>
            <w:shd w:val="clear" w:color="auto" w:fill="D9E2F3" w:themeFill="accent5" w:themeFillTint="33"/>
          </w:tcPr>
          <w:p w14:paraId="1409770A" w14:textId="6303EBEF" w:rsidR="00591548" w:rsidRPr="009A190B" w:rsidRDefault="00C7207F" w:rsidP="001257C8">
            <w:pPr>
              <w:rPr>
                <w:rFonts w:asciiTheme="majorHAnsi" w:hAnsiTheme="majorHAnsi" w:cstheme="majorHAnsi"/>
                <w:szCs w:val="24"/>
              </w:rPr>
            </w:pPr>
            <w:r w:rsidRPr="009A190B">
              <w:rPr>
                <w:rFonts w:asciiTheme="majorHAnsi" w:hAnsiTheme="majorHAnsi" w:cstheme="majorHAnsi"/>
                <w:szCs w:val="24"/>
              </w:rPr>
              <w:t>Yes.</w:t>
            </w:r>
          </w:p>
        </w:tc>
      </w:tr>
    </w:tbl>
    <w:p w14:paraId="0BECBBA8" w14:textId="74FCA8FD" w:rsidR="00591548" w:rsidRPr="009A190B" w:rsidRDefault="00591548" w:rsidP="00591548">
      <w:pPr>
        <w:rPr>
          <w:rFonts w:asciiTheme="majorHAnsi" w:hAnsiTheme="majorHAnsi" w:cstheme="majorHAnsi"/>
          <w:szCs w:val="24"/>
        </w:rPr>
      </w:pPr>
    </w:p>
    <w:p w14:paraId="4432E59D" w14:textId="6BC1039C" w:rsidR="001844F8" w:rsidRPr="009A190B" w:rsidRDefault="001844F8" w:rsidP="001844F8">
      <w:pPr>
        <w:pStyle w:val="ListParagraph"/>
        <w:numPr>
          <w:ilvl w:val="0"/>
          <w:numId w:val="1"/>
        </w:numPr>
        <w:rPr>
          <w:rFonts w:asciiTheme="majorHAnsi" w:hAnsiTheme="majorHAnsi" w:cstheme="majorHAnsi"/>
          <w:szCs w:val="24"/>
        </w:rPr>
      </w:pPr>
      <w:r w:rsidRPr="009A190B">
        <w:rPr>
          <w:rFonts w:asciiTheme="majorHAnsi" w:hAnsiTheme="majorHAnsi" w:cstheme="majorHAnsi"/>
          <w:szCs w:val="24"/>
        </w:rPr>
        <w:t>2.4.2.2 (Basic Plan) – Is Tier 2 support also available 24x7 and is it in real time?</w:t>
      </w:r>
    </w:p>
    <w:tbl>
      <w:tblPr>
        <w:tblStyle w:val="TableGrid"/>
        <w:tblW w:w="0" w:type="auto"/>
        <w:tblInd w:w="360" w:type="dxa"/>
        <w:tblLook w:val="04A0" w:firstRow="1" w:lastRow="0" w:firstColumn="1" w:lastColumn="0" w:noHBand="0" w:noVBand="1"/>
      </w:tblPr>
      <w:tblGrid>
        <w:gridCol w:w="14030"/>
      </w:tblGrid>
      <w:tr w:rsidR="001844F8" w:rsidRPr="009A190B" w14:paraId="552B0CE3" w14:textId="77777777" w:rsidTr="00D73F7E">
        <w:tc>
          <w:tcPr>
            <w:tcW w:w="14390" w:type="dxa"/>
            <w:shd w:val="clear" w:color="auto" w:fill="D9E2F3" w:themeFill="accent5" w:themeFillTint="33"/>
          </w:tcPr>
          <w:p w14:paraId="6F9F812A" w14:textId="7CB1ADE3" w:rsidR="001844F8" w:rsidRPr="009A190B" w:rsidRDefault="00C7207F" w:rsidP="00D73F7E">
            <w:pPr>
              <w:rPr>
                <w:rFonts w:asciiTheme="majorHAnsi" w:hAnsiTheme="majorHAnsi" w:cstheme="majorHAnsi"/>
                <w:szCs w:val="24"/>
              </w:rPr>
            </w:pPr>
            <w:r w:rsidRPr="009A190B">
              <w:rPr>
                <w:rFonts w:asciiTheme="majorHAnsi" w:hAnsiTheme="majorHAnsi" w:cstheme="majorHAnsi"/>
                <w:szCs w:val="24"/>
              </w:rPr>
              <w:t>Yes.</w:t>
            </w:r>
          </w:p>
        </w:tc>
      </w:tr>
    </w:tbl>
    <w:p w14:paraId="1BEBE813" w14:textId="77777777" w:rsidR="001844F8" w:rsidRPr="009A190B" w:rsidRDefault="001844F8" w:rsidP="00591548">
      <w:pPr>
        <w:rPr>
          <w:rFonts w:asciiTheme="majorHAnsi" w:hAnsiTheme="majorHAnsi" w:cstheme="majorHAnsi"/>
          <w:szCs w:val="24"/>
        </w:rPr>
      </w:pPr>
    </w:p>
    <w:p w14:paraId="5294128C" w14:textId="6EA77D0E" w:rsidR="001844F8" w:rsidRPr="009A190B" w:rsidRDefault="001844F8" w:rsidP="001844F8">
      <w:pPr>
        <w:pStyle w:val="ListParagraph"/>
        <w:numPr>
          <w:ilvl w:val="0"/>
          <w:numId w:val="3"/>
        </w:numPr>
        <w:spacing w:after="160"/>
        <w:rPr>
          <w:rFonts w:asciiTheme="majorHAnsi" w:hAnsiTheme="majorHAnsi" w:cstheme="majorHAnsi"/>
          <w:szCs w:val="24"/>
        </w:rPr>
      </w:pPr>
      <w:r w:rsidRPr="009A190B">
        <w:rPr>
          <w:rFonts w:asciiTheme="majorHAnsi" w:hAnsiTheme="majorHAnsi" w:cstheme="majorHAnsi"/>
          <w:szCs w:val="24"/>
        </w:rPr>
        <w:t>Confirm that Axon will work with ISP to come up with a mutually agreed upon solution to mount and protect the router.  Please confirm that Axon will incur the costs for the permanent mounting solution, whether it</w:t>
      </w:r>
      <w:r w:rsidR="00BC7440" w:rsidRPr="009A190B">
        <w:rPr>
          <w:rFonts w:asciiTheme="majorHAnsi" w:hAnsiTheme="majorHAnsi" w:cstheme="majorHAnsi"/>
          <w:szCs w:val="24"/>
        </w:rPr>
        <w:t xml:space="preserve"> i</w:t>
      </w:r>
      <w:r w:rsidRPr="009A190B">
        <w:rPr>
          <w:rFonts w:asciiTheme="majorHAnsi" w:hAnsiTheme="majorHAnsi" w:cstheme="majorHAnsi"/>
          <w:szCs w:val="24"/>
        </w:rPr>
        <w:t>s fabricated or a pre-made tray/solution that is procured.</w:t>
      </w:r>
    </w:p>
    <w:tbl>
      <w:tblPr>
        <w:tblStyle w:val="TableGrid"/>
        <w:tblW w:w="0" w:type="auto"/>
        <w:tblInd w:w="360" w:type="dxa"/>
        <w:tblLook w:val="04A0" w:firstRow="1" w:lastRow="0" w:firstColumn="1" w:lastColumn="0" w:noHBand="0" w:noVBand="1"/>
      </w:tblPr>
      <w:tblGrid>
        <w:gridCol w:w="14030"/>
      </w:tblGrid>
      <w:tr w:rsidR="00591548" w:rsidRPr="009A190B" w14:paraId="3316CC3D" w14:textId="77777777" w:rsidTr="001257C8">
        <w:tc>
          <w:tcPr>
            <w:tcW w:w="14390" w:type="dxa"/>
            <w:shd w:val="clear" w:color="auto" w:fill="D9E2F3" w:themeFill="accent5" w:themeFillTint="33"/>
          </w:tcPr>
          <w:p w14:paraId="0457B065" w14:textId="5D5C4244" w:rsidR="00591548" w:rsidRPr="009A190B" w:rsidRDefault="00C7207F" w:rsidP="001257C8">
            <w:pPr>
              <w:rPr>
                <w:rFonts w:asciiTheme="majorHAnsi" w:hAnsiTheme="majorHAnsi" w:cstheme="majorHAnsi"/>
                <w:szCs w:val="24"/>
              </w:rPr>
            </w:pPr>
            <w:r w:rsidRPr="009A190B">
              <w:rPr>
                <w:rFonts w:asciiTheme="majorHAnsi" w:hAnsiTheme="majorHAnsi" w:cstheme="majorHAnsi"/>
              </w:rPr>
              <w:t>Axon will work with Indiana State Police to come up with a mutually agreed upon solution to mount and protect the router. Axon will incur the costs for the permanent mounting solution, whether it is fabricated or a pre-made tray/solution that is procured.</w:t>
            </w:r>
          </w:p>
        </w:tc>
      </w:tr>
    </w:tbl>
    <w:p w14:paraId="0CA606D2" w14:textId="77777777" w:rsidR="00591548" w:rsidRPr="009A190B" w:rsidRDefault="00591548" w:rsidP="00591548">
      <w:pPr>
        <w:pStyle w:val="ListParagraph"/>
        <w:rPr>
          <w:rFonts w:asciiTheme="majorHAnsi" w:hAnsiTheme="majorHAnsi" w:cstheme="majorHAnsi"/>
          <w:szCs w:val="24"/>
        </w:rPr>
      </w:pPr>
    </w:p>
    <w:p w14:paraId="3AFC80A2" w14:textId="77777777" w:rsidR="001844F8" w:rsidRPr="009A190B" w:rsidRDefault="001844F8" w:rsidP="001844F8">
      <w:pPr>
        <w:pStyle w:val="ListParagraph"/>
        <w:numPr>
          <w:ilvl w:val="0"/>
          <w:numId w:val="3"/>
        </w:numPr>
        <w:spacing w:after="160"/>
        <w:rPr>
          <w:rFonts w:asciiTheme="majorHAnsi" w:hAnsiTheme="majorHAnsi" w:cstheme="majorHAnsi"/>
          <w:szCs w:val="24"/>
        </w:rPr>
      </w:pPr>
      <w:r w:rsidRPr="009A190B">
        <w:rPr>
          <w:rFonts w:asciiTheme="majorHAnsi" w:hAnsiTheme="majorHAnsi" w:cstheme="majorHAnsi"/>
          <w:szCs w:val="24"/>
        </w:rPr>
        <w:t>What is the timeframe for creating and fabricating a permanent mounting solution for the router?</w:t>
      </w:r>
    </w:p>
    <w:tbl>
      <w:tblPr>
        <w:tblStyle w:val="TableGrid"/>
        <w:tblW w:w="0" w:type="auto"/>
        <w:tblInd w:w="360" w:type="dxa"/>
        <w:tblLook w:val="04A0" w:firstRow="1" w:lastRow="0" w:firstColumn="1" w:lastColumn="0" w:noHBand="0" w:noVBand="1"/>
      </w:tblPr>
      <w:tblGrid>
        <w:gridCol w:w="14030"/>
      </w:tblGrid>
      <w:tr w:rsidR="00591548" w:rsidRPr="009A190B" w14:paraId="7B6B89B0" w14:textId="77777777" w:rsidTr="001257C8">
        <w:tc>
          <w:tcPr>
            <w:tcW w:w="14390" w:type="dxa"/>
            <w:shd w:val="clear" w:color="auto" w:fill="D9E2F3" w:themeFill="accent5" w:themeFillTint="33"/>
          </w:tcPr>
          <w:p w14:paraId="050712DE" w14:textId="0D9A6E0A" w:rsidR="00591548" w:rsidRPr="009A190B" w:rsidRDefault="00C7207F" w:rsidP="001257C8">
            <w:pPr>
              <w:rPr>
                <w:rFonts w:asciiTheme="majorHAnsi" w:hAnsiTheme="majorHAnsi" w:cstheme="majorHAnsi"/>
                <w:szCs w:val="24"/>
              </w:rPr>
            </w:pPr>
            <w:r w:rsidRPr="009A190B">
              <w:rPr>
                <w:rFonts w:asciiTheme="majorHAnsi" w:hAnsiTheme="majorHAnsi" w:cstheme="majorHAnsi"/>
              </w:rPr>
              <w:t>Axon has already researched possible solutions and identified a number of possible finished product candidates for Indiana State Police's application. Axon has a high degree of confidence that one of these finished product/premade solutions will meet Indiana State Police's standards. If a finished product/premade solution is agreed upon, Axon expects no disruption to the agreed upon install and deployment schedule of 90 days. If custom fabrication of a permanent mounting solution is required, it may require 30 days depending on agreed upon design, testing with Indiana State Police to ensure the solution is to the satisfaction of Indiana State Police, and fabrication of final product. Axon will also work with Cradlepoint to ensure that mounting solution does not impede the performance of the router.</w:t>
            </w:r>
          </w:p>
        </w:tc>
      </w:tr>
    </w:tbl>
    <w:p w14:paraId="678E2A3C" w14:textId="3F3E1127" w:rsidR="00591548" w:rsidRPr="009A190B" w:rsidRDefault="00591548" w:rsidP="00591548">
      <w:pPr>
        <w:rPr>
          <w:rFonts w:asciiTheme="majorHAnsi" w:hAnsiTheme="majorHAnsi" w:cstheme="majorHAnsi"/>
          <w:szCs w:val="24"/>
        </w:rPr>
      </w:pPr>
    </w:p>
    <w:p w14:paraId="37A90A63" w14:textId="77777777" w:rsidR="001844F8" w:rsidRPr="009A190B" w:rsidRDefault="001844F8" w:rsidP="001844F8">
      <w:pPr>
        <w:pStyle w:val="ListParagraph"/>
        <w:numPr>
          <w:ilvl w:val="0"/>
          <w:numId w:val="3"/>
        </w:numPr>
        <w:spacing w:after="160"/>
        <w:rPr>
          <w:rFonts w:asciiTheme="majorHAnsi" w:hAnsiTheme="majorHAnsi" w:cstheme="majorHAnsi"/>
          <w:szCs w:val="24"/>
        </w:rPr>
      </w:pPr>
      <w:r w:rsidRPr="009A190B">
        <w:rPr>
          <w:rFonts w:asciiTheme="majorHAnsi" w:hAnsiTheme="majorHAnsi" w:cstheme="majorHAnsi"/>
          <w:szCs w:val="24"/>
        </w:rPr>
        <w:t>Please confirm that the backseat camera can be moved and mounted to show the front passenger seat instead.</w:t>
      </w:r>
    </w:p>
    <w:tbl>
      <w:tblPr>
        <w:tblStyle w:val="TableGrid"/>
        <w:tblW w:w="0" w:type="auto"/>
        <w:tblInd w:w="360" w:type="dxa"/>
        <w:tblLook w:val="04A0" w:firstRow="1" w:lastRow="0" w:firstColumn="1" w:lastColumn="0" w:noHBand="0" w:noVBand="1"/>
      </w:tblPr>
      <w:tblGrid>
        <w:gridCol w:w="14030"/>
      </w:tblGrid>
      <w:tr w:rsidR="001844F8" w:rsidRPr="009A190B" w14:paraId="72E7CD88" w14:textId="77777777" w:rsidTr="00D73F7E">
        <w:tc>
          <w:tcPr>
            <w:tcW w:w="14390" w:type="dxa"/>
            <w:shd w:val="clear" w:color="auto" w:fill="D9E2F3" w:themeFill="accent5" w:themeFillTint="33"/>
          </w:tcPr>
          <w:p w14:paraId="20442FBB" w14:textId="4200A314" w:rsidR="001844F8" w:rsidRPr="009A190B" w:rsidRDefault="00C7207F" w:rsidP="00D73F7E">
            <w:pPr>
              <w:rPr>
                <w:rFonts w:asciiTheme="majorHAnsi" w:hAnsiTheme="majorHAnsi" w:cstheme="majorHAnsi"/>
                <w:szCs w:val="24"/>
              </w:rPr>
            </w:pPr>
            <w:r w:rsidRPr="009A190B">
              <w:rPr>
                <w:rFonts w:asciiTheme="majorHAnsi" w:hAnsiTheme="majorHAnsi" w:cstheme="majorHAnsi"/>
              </w:rPr>
              <w:t>Confirmed. The backseat camera can be moved and mounted to show the front passenger seat instead.</w:t>
            </w:r>
          </w:p>
        </w:tc>
      </w:tr>
    </w:tbl>
    <w:p w14:paraId="41C4C7E0" w14:textId="77777777" w:rsidR="001844F8" w:rsidRPr="009A190B" w:rsidRDefault="001844F8" w:rsidP="001844F8">
      <w:pPr>
        <w:pStyle w:val="ListParagraph"/>
        <w:rPr>
          <w:rFonts w:asciiTheme="majorHAnsi" w:hAnsiTheme="majorHAnsi" w:cstheme="majorHAnsi"/>
          <w:szCs w:val="24"/>
        </w:rPr>
      </w:pPr>
    </w:p>
    <w:p w14:paraId="3A3757A5" w14:textId="2A756691" w:rsidR="001844F8" w:rsidRPr="009A190B" w:rsidRDefault="001844F8" w:rsidP="001844F8">
      <w:pPr>
        <w:pStyle w:val="ListParagraph"/>
        <w:numPr>
          <w:ilvl w:val="0"/>
          <w:numId w:val="3"/>
        </w:numPr>
        <w:spacing w:after="160"/>
        <w:rPr>
          <w:rFonts w:asciiTheme="majorHAnsi" w:hAnsiTheme="majorHAnsi" w:cstheme="majorHAnsi"/>
          <w:szCs w:val="24"/>
        </w:rPr>
      </w:pPr>
      <w:r w:rsidRPr="009A190B">
        <w:rPr>
          <w:rFonts w:asciiTheme="majorHAnsi" w:hAnsiTheme="majorHAnsi" w:cstheme="majorHAnsi"/>
          <w:szCs w:val="24"/>
        </w:rPr>
        <w:t xml:space="preserve">Please confirm that all wiring will be supplied by Axon and is included in the pricing that was proposed. </w:t>
      </w:r>
    </w:p>
    <w:tbl>
      <w:tblPr>
        <w:tblStyle w:val="TableGrid"/>
        <w:tblW w:w="0" w:type="auto"/>
        <w:tblInd w:w="360" w:type="dxa"/>
        <w:tblLook w:val="04A0" w:firstRow="1" w:lastRow="0" w:firstColumn="1" w:lastColumn="0" w:noHBand="0" w:noVBand="1"/>
      </w:tblPr>
      <w:tblGrid>
        <w:gridCol w:w="14030"/>
      </w:tblGrid>
      <w:tr w:rsidR="001844F8" w:rsidRPr="009A190B" w14:paraId="1E2377D9" w14:textId="77777777" w:rsidTr="00D73F7E">
        <w:tc>
          <w:tcPr>
            <w:tcW w:w="14390" w:type="dxa"/>
            <w:shd w:val="clear" w:color="auto" w:fill="D9E2F3" w:themeFill="accent5" w:themeFillTint="33"/>
          </w:tcPr>
          <w:p w14:paraId="446CD490" w14:textId="65EDFCA2" w:rsidR="001844F8" w:rsidRPr="009A190B" w:rsidRDefault="00035C16" w:rsidP="00D73F7E">
            <w:pPr>
              <w:rPr>
                <w:rFonts w:asciiTheme="majorHAnsi" w:hAnsiTheme="majorHAnsi" w:cstheme="majorHAnsi"/>
                <w:szCs w:val="24"/>
              </w:rPr>
            </w:pPr>
            <w:r w:rsidRPr="009A190B">
              <w:rPr>
                <w:rFonts w:asciiTheme="majorHAnsi" w:hAnsiTheme="majorHAnsi" w:cstheme="majorHAnsi"/>
              </w:rPr>
              <w:t>Yes, all wiring is supplied by Axon and is included in the pricing included.</w:t>
            </w:r>
          </w:p>
        </w:tc>
      </w:tr>
    </w:tbl>
    <w:p w14:paraId="51B98A03" w14:textId="28604DA3" w:rsidR="00A047E9" w:rsidRDefault="00A047E9" w:rsidP="001844F8">
      <w:pPr>
        <w:rPr>
          <w:rFonts w:asciiTheme="majorHAnsi" w:hAnsiTheme="majorHAnsi" w:cstheme="majorHAnsi"/>
          <w:szCs w:val="24"/>
        </w:rPr>
      </w:pPr>
    </w:p>
    <w:p w14:paraId="118F400F" w14:textId="77777777" w:rsidR="00A047E9" w:rsidRDefault="00A047E9">
      <w:pPr>
        <w:rPr>
          <w:rFonts w:asciiTheme="majorHAnsi" w:hAnsiTheme="majorHAnsi" w:cstheme="majorHAnsi"/>
          <w:szCs w:val="24"/>
        </w:rPr>
      </w:pPr>
      <w:r>
        <w:rPr>
          <w:rFonts w:asciiTheme="majorHAnsi" w:hAnsiTheme="majorHAnsi" w:cstheme="majorHAnsi"/>
          <w:szCs w:val="24"/>
        </w:rPr>
        <w:br w:type="page"/>
      </w:r>
    </w:p>
    <w:p w14:paraId="6D323FE9" w14:textId="7B9257F8" w:rsidR="001844F8" w:rsidRPr="009A190B" w:rsidRDefault="00BC7440" w:rsidP="001844F8">
      <w:pPr>
        <w:pStyle w:val="ListParagraph"/>
        <w:numPr>
          <w:ilvl w:val="0"/>
          <w:numId w:val="3"/>
        </w:numPr>
        <w:spacing w:after="160"/>
        <w:rPr>
          <w:rFonts w:asciiTheme="majorHAnsi" w:hAnsiTheme="majorHAnsi" w:cstheme="majorHAnsi"/>
          <w:szCs w:val="24"/>
        </w:rPr>
      </w:pPr>
      <w:r w:rsidRPr="009A190B">
        <w:rPr>
          <w:rFonts w:asciiTheme="majorHAnsi" w:hAnsiTheme="majorHAnsi" w:cstheme="majorHAnsi"/>
          <w:bCs/>
          <w:szCs w:val="24"/>
        </w:rPr>
        <w:lastRenderedPageBreak/>
        <w:t>What n</w:t>
      </w:r>
      <w:r w:rsidR="001844F8" w:rsidRPr="009A190B">
        <w:rPr>
          <w:rFonts w:asciiTheme="majorHAnsi" w:hAnsiTheme="majorHAnsi" w:cstheme="majorHAnsi"/>
          <w:bCs/>
          <w:szCs w:val="24"/>
        </w:rPr>
        <w:t>umber of installers</w:t>
      </w:r>
      <w:r w:rsidRPr="009A190B">
        <w:rPr>
          <w:rFonts w:asciiTheme="majorHAnsi" w:hAnsiTheme="majorHAnsi" w:cstheme="majorHAnsi"/>
          <w:bCs/>
          <w:szCs w:val="24"/>
        </w:rPr>
        <w:t xml:space="preserve"> is</w:t>
      </w:r>
      <w:r w:rsidR="001844F8" w:rsidRPr="009A190B">
        <w:rPr>
          <w:rFonts w:asciiTheme="majorHAnsi" w:hAnsiTheme="majorHAnsi" w:cstheme="majorHAnsi"/>
          <w:bCs/>
          <w:szCs w:val="24"/>
        </w:rPr>
        <w:t xml:space="preserve"> your company is willing to provide for this installation?  Will they need to visit each district?  Will there be one in the north, central, south, etc</w:t>
      </w:r>
      <w:r w:rsidRPr="009A190B">
        <w:rPr>
          <w:rFonts w:asciiTheme="majorHAnsi" w:hAnsiTheme="majorHAnsi" w:cstheme="majorHAnsi"/>
          <w:bCs/>
          <w:szCs w:val="24"/>
        </w:rPr>
        <w:t>.</w:t>
      </w:r>
      <w:r w:rsidR="001844F8" w:rsidRPr="009A190B">
        <w:rPr>
          <w:rFonts w:asciiTheme="majorHAnsi" w:hAnsiTheme="majorHAnsi" w:cstheme="majorHAnsi"/>
          <w:bCs/>
          <w:szCs w:val="24"/>
        </w:rPr>
        <w:t>?</w:t>
      </w:r>
    </w:p>
    <w:tbl>
      <w:tblPr>
        <w:tblStyle w:val="TableGrid"/>
        <w:tblW w:w="0" w:type="auto"/>
        <w:tblInd w:w="360" w:type="dxa"/>
        <w:tblLook w:val="04A0" w:firstRow="1" w:lastRow="0" w:firstColumn="1" w:lastColumn="0" w:noHBand="0" w:noVBand="1"/>
      </w:tblPr>
      <w:tblGrid>
        <w:gridCol w:w="14030"/>
      </w:tblGrid>
      <w:tr w:rsidR="001844F8" w:rsidRPr="009A190B" w14:paraId="76522194" w14:textId="77777777" w:rsidTr="00D73F7E">
        <w:tc>
          <w:tcPr>
            <w:tcW w:w="14390" w:type="dxa"/>
            <w:shd w:val="clear" w:color="auto" w:fill="D9E2F3" w:themeFill="accent5" w:themeFillTint="33"/>
          </w:tcPr>
          <w:p w14:paraId="02D9BDC7" w14:textId="3507515F" w:rsidR="001844F8" w:rsidRPr="009A190B" w:rsidRDefault="00035C16" w:rsidP="00D73F7E">
            <w:pPr>
              <w:rPr>
                <w:rFonts w:asciiTheme="majorHAnsi" w:hAnsiTheme="majorHAnsi" w:cstheme="majorHAnsi"/>
                <w:szCs w:val="24"/>
              </w:rPr>
            </w:pPr>
            <w:r w:rsidRPr="009A190B">
              <w:rPr>
                <w:rFonts w:asciiTheme="majorHAnsi" w:hAnsiTheme="majorHAnsi" w:cstheme="majorHAnsi"/>
              </w:rPr>
              <w:t>Axon is committed to working with Indiana State Police to ensure adherence to the proposed timeline. The initial plan would be to deploy 6 teams of installers (installing 2-3 cars per day). If needed, Axon will deploy additional personnel to ensure adherence to agreed upon timeline. Axon personnel can be deployed in one central location or throughout the state.</w:t>
            </w:r>
          </w:p>
        </w:tc>
      </w:tr>
    </w:tbl>
    <w:p w14:paraId="47DF2400" w14:textId="77777777" w:rsidR="001844F8" w:rsidRPr="009A190B" w:rsidRDefault="001844F8" w:rsidP="001844F8">
      <w:pPr>
        <w:pStyle w:val="ListParagraph"/>
        <w:rPr>
          <w:rFonts w:asciiTheme="majorHAnsi" w:hAnsiTheme="majorHAnsi" w:cstheme="majorHAnsi"/>
          <w:szCs w:val="24"/>
        </w:rPr>
      </w:pPr>
    </w:p>
    <w:p w14:paraId="56B4D678" w14:textId="6A30CB60" w:rsidR="001844F8" w:rsidRPr="009A190B" w:rsidRDefault="001844F8" w:rsidP="001844F8">
      <w:pPr>
        <w:pStyle w:val="ListParagraph"/>
        <w:numPr>
          <w:ilvl w:val="0"/>
          <w:numId w:val="3"/>
        </w:numPr>
        <w:spacing w:after="160"/>
        <w:rPr>
          <w:rFonts w:asciiTheme="majorHAnsi" w:hAnsiTheme="majorHAnsi" w:cstheme="majorHAnsi"/>
          <w:szCs w:val="24"/>
        </w:rPr>
      </w:pPr>
      <w:r w:rsidRPr="009A190B">
        <w:rPr>
          <w:rFonts w:asciiTheme="majorHAnsi" w:hAnsiTheme="majorHAnsi" w:cstheme="majorHAnsi"/>
          <w:bCs/>
          <w:szCs w:val="24"/>
        </w:rPr>
        <w:t>Pleases confirm that there is already a Caliber API th</w:t>
      </w:r>
      <w:r w:rsidR="00BC7440" w:rsidRPr="009A190B">
        <w:rPr>
          <w:rFonts w:asciiTheme="majorHAnsi" w:hAnsiTheme="majorHAnsi" w:cstheme="majorHAnsi"/>
          <w:bCs/>
          <w:szCs w:val="24"/>
        </w:rPr>
        <w:t>at i</w:t>
      </w:r>
      <w:r w:rsidRPr="009A190B">
        <w:rPr>
          <w:rFonts w:asciiTheme="majorHAnsi" w:hAnsiTheme="majorHAnsi" w:cstheme="majorHAnsi"/>
          <w:bCs/>
          <w:szCs w:val="24"/>
        </w:rPr>
        <w:t>s included in the pricing package.</w:t>
      </w:r>
    </w:p>
    <w:tbl>
      <w:tblPr>
        <w:tblStyle w:val="TableGrid"/>
        <w:tblW w:w="0" w:type="auto"/>
        <w:tblInd w:w="360" w:type="dxa"/>
        <w:tblLook w:val="04A0" w:firstRow="1" w:lastRow="0" w:firstColumn="1" w:lastColumn="0" w:noHBand="0" w:noVBand="1"/>
      </w:tblPr>
      <w:tblGrid>
        <w:gridCol w:w="14030"/>
      </w:tblGrid>
      <w:tr w:rsidR="001844F8" w:rsidRPr="009A190B" w14:paraId="1B8115EA" w14:textId="77777777" w:rsidTr="00D73F7E">
        <w:tc>
          <w:tcPr>
            <w:tcW w:w="14390" w:type="dxa"/>
            <w:shd w:val="clear" w:color="auto" w:fill="D9E2F3" w:themeFill="accent5" w:themeFillTint="33"/>
          </w:tcPr>
          <w:p w14:paraId="61AF41ED" w14:textId="098214C2" w:rsidR="001844F8" w:rsidRPr="009A190B" w:rsidRDefault="00035C16" w:rsidP="00D73F7E">
            <w:pPr>
              <w:rPr>
                <w:rFonts w:asciiTheme="majorHAnsi" w:hAnsiTheme="majorHAnsi" w:cstheme="majorHAnsi"/>
                <w:szCs w:val="24"/>
              </w:rPr>
            </w:pPr>
            <w:r w:rsidRPr="009A190B">
              <w:rPr>
                <w:rFonts w:asciiTheme="majorHAnsi" w:hAnsiTheme="majorHAnsi" w:cstheme="majorHAnsi"/>
              </w:rPr>
              <w:t>Yes, Axon has already integrated with Caliber CAD system and this is included in the pricing package.</w:t>
            </w:r>
          </w:p>
        </w:tc>
      </w:tr>
    </w:tbl>
    <w:p w14:paraId="42326C4D" w14:textId="77777777" w:rsidR="001844F8" w:rsidRPr="009A190B" w:rsidRDefault="001844F8" w:rsidP="001844F8">
      <w:pPr>
        <w:rPr>
          <w:rFonts w:asciiTheme="majorHAnsi" w:hAnsiTheme="majorHAnsi" w:cstheme="majorHAnsi"/>
          <w:szCs w:val="24"/>
        </w:rPr>
      </w:pPr>
    </w:p>
    <w:p w14:paraId="0E1D33B6" w14:textId="77777777" w:rsidR="001844F8" w:rsidRPr="009A190B" w:rsidRDefault="001844F8" w:rsidP="001844F8">
      <w:pPr>
        <w:pStyle w:val="ListParagraph"/>
        <w:numPr>
          <w:ilvl w:val="0"/>
          <w:numId w:val="3"/>
        </w:numPr>
        <w:spacing w:after="160"/>
        <w:rPr>
          <w:rFonts w:asciiTheme="majorHAnsi" w:hAnsiTheme="majorHAnsi" w:cstheme="majorHAnsi"/>
          <w:szCs w:val="24"/>
        </w:rPr>
      </w:pPr>
      <w:r w:rsidRPr="009A190B">
        <w:rPr>
          <w:rFonts w:asciiTheme="majorHAnsi" w:hAnsiTheme="majorHAnsi" w:cstheme="majorHAnsi"/>
          <w:szCs w:val="24"/>
        </w:rPr>
        <w:t>How many teams will Axon provide for vehicle installations?  What positions will the teams be comprised of?</w:t>
      </w:r>
    </w:p>
    <w:tbl>
      <w:tblPr>
        <w:tblStyle w:val="TableGrid"/>
        <w:tblW w:w="0" w:type="auto"/>
        <w:tblInd w:w="360" w:type="dxa"/>
        <w:tblLook w:val="04A0" w:firstRow="1" w:lastRow="0" w:firstColumn="1" w:lastColumn="0" w:noHBand="0" w:noVBand="1"/>
      </w:tblPr>
      <w:tblGrid>
        <w:gridCol w:w="14030"/>
      </w:tblGrid>
      <w:tr w:rsidR="001844F8" w:rsidRPr="009A190B" w14:paraId="21C6997A" w14:textId="77777777" w:rsidTr="00D73F7E">
        <w:tc>
          <w:tcPr>
            <w:tcW w:w="14390" w:type="dxa"/>
            <w:shd w:val="clear" w:color="auto" w:fill="D9E2F3" w:themeFill="accent5" w:themeFillTint="33"/>
          </w:tcPr>
          <w:p w14:paraId="5ADE6B48" w14:textId="1EB2C8C6" w:rsidR="001844F8" w:rsidRPr="009A190B" w:rsidRDefault="00035C16" w:rsidP="00D73F7E">
            <w:pPr>
              <w:rPr>
                <w:rFonts w:asciiTheme="majorHAnsi" w:hAnsiTheme="majorHAnsi" w:cstheme="majorHAnsi"/>
                <w:szCs w:val="24"/>
              </w:rPr>
            </w:pPr>
            <w:r w:rsidRPr="009A190B">
              <w:rPr>
                <w:rFonts w:asciiTheme="majorHAnsi" w:hAnsiTheme="majorHAnsi" w:cstheme="majorHAnsi"/>
              </w:rPr>
              <w:t>The initial plan would be to deploy 6 teams of installers (installing 2-3 cars per day). Teams are traditionally comprised of two individuals, one primary installer that is responsible for install of gear and ensuring that it works and is operational and interfacing with agency, one assistant that is responsible for un-boxing, assigning serial numbers, building vehicle in E.com and assisting the primary during install. If needed, Axon will deploy additional personnel to ensure adherence to agreed upon timeline.</w:t>
            </w:r>
          </w:p>
        </w:tc>
      </w:tr>
    </w:tbl>
    <w:p w14:paraId="5AFA9B82" w14:textId="77777777" w:rsidR="001844F8" w:rsidRPr="009A190B" w:rsidRDefault="001844F8" w:rsidP="001844F8">
      <w:pPr>
        <w:pStyle w:val="ListParagraph"/>
        <w:rPr>
          <w:rFonts w:asciiTheme="majorHAnsi" w:hAnsiTheme="majorHAnsi" w:cstheme="majorHAnsi"/>
          <w:szCs w:val="24"/>
        </w:rPr>
      </w:pPr>
    </w:p>
    <w:p w14:paraId="443C1606" w14:textId="77777777" w:rsidR="001844F8" w:rsidRPr="009A190B" w:rsidRDefault="001844F8" w:rsidP="001844F8">
      <w:pPr>
        <w:pStyle w:val="ListParagraph"/>
        <w:numPr>
          <w:ilvl w:val="0"/>
          <w:numId w:val="3"/>
        </w:numPr>
        <w:spacing w:after="160"/>
        <w:rPr>
          <w:rFonts w:asciiTheme="majorHAnsi" w:hAnsiTheme="majorHAnsi" w:cstheme="majorHAnsi"/>
          <w:bCs/>
          <w:szCs w:val="24"/>
        </w:rPr>
      </w:pPr>
      <w:r w:rsidRPr="009A190B">
        <w:rPr>
          <w:rFonts w:asciiTheme="majorHAnsi" w:hAnsiTheme="majorHAnsi" w:cstheme="majorHAnsi"/>
          <w:bCs/>
          <w:szCs w:val="24"/>
        </w:rPr>
        <w:t>What is the Fleet 2 license?</w:t>
      </w:r>
    </w:p>
    <w:tbl>
      <w:tblPr>
        <w:tblStyle w:val="TableGrid"/>
        <w:tblW w:w="0" w:type="auto"/>
        <w:tblInd w:w="360" w:type="dxa"/>
        <w:tblLook w:val="04A0" w:firstRow="1" w:lastRow="0" w:firstColumn="1" w:lastColumn="0" w:noHBand="0" w:noVBand="1"/>
      </w:tblPr>
      <w:tblGrid>
        <w:gridCol w:w="14030"/>
      </w:tblGrid>
      <w:tr w:rsidR="001844F8" w:rsidRPr="009A190B" w14:paraId="1DF63C95" w14:textId="77777777" w:rsidTr="00D73F7E">
        <w:tc>
          <w:tcPr>
            <w:tcW w:w="14390" w:type="dxa"/>
            <w:shd w:val="clear" w:color="auto" w:fill="D9E2F3" w:themeFill="accent5" w:themeFillTint="33"/>
          </w:tcPr>
          <w:p w14:paraId="5EFFFF69" w14:textId="16182EB7" w:rsidR="001844F8" w:rsidRPr="009A190B" w:rsidRDefault="00035C16" w:rsidP="00D73F7E">
            <w:pPr>
              <w:rPr>
                <w:rFonts w:asciiTheme="majorHAnsi" w:hAnsiTheme="majorHAnsi" w:cstheme="majorHAnsi"/>
                <w:szCs w:val="24"/>
              </w:rPr>
            </w:pPr>
            <w:r w:rsidRPr="009A190B">
              <w:rPr>
                <w:rFonts w:asciiTheme="majorHAnsi" w:hAnsiTheme="majorHAnsi" w:cstheme="majorHAnsi"/>
              </w:rPr>
              <w:t>Each squad car needs an Axon Fleet 2 vehicle license; each user needs one Axon Fleet vehicle license and is included in the cost per vehicle, per month. The Axon Fleet 2 license includes the in-car camera hardware, unlimited storage for Fleet cameras and extended warranty for all hardware.</w:t>
            </w:r>
          </w:p>
        </w:tc>
      </w:tr>
    </w:tbl>
    <w:p w14:paraId="0A7EE704" w14:textId="77777777" w:rsidR="001844F8" w:rsidRPr="009A190B" w:rsidRDefault="001844F8" w:rsidP="001844F8">
      <w:pPr>
        <w:rPr>
          <w:rFonts w:asciiTheme="majorHAnsi" w:hAnsiTheme="majorHAnsi" w:cstheme="majorHAnsi"/>
          <w:szCs w:val="24"/>
        </w:rPr>
      </w:pPr>
    </w:p>
    <w:p w14:paraId="7E9F854D" w14:textId="1AB13A78" w:rsidR="001844F8" w:rsidRPr="009A190B" w:rsidRDefault="001844F8" w:rsidP="00BC7440">
      <w:pPr>
        <w:pStyle w:val="ListParagraph"/>
        <w:numPr>
          <w:ilvl w:val="0"/>
          <w:numId w:val="3"/>
        </w:numPr>
        <w:rPr>
          <w:rFonts w:asciiTheme="majorHAnsi" w:eastAsia="Times New Roman" w:hAnsiTheme="majorHAnsi" w:cstheme="majorHAnsi"/>
          <w:szCs w:val="24"/>
        </w:rPr>
      </w:pPr>
      <w:r w:rsidRPr="009A190B">
        <w:rPr>
          <w:rFonts w:asciiTheme="majorHAnsi" w:hAnsiTheme="majorHAnsi" w:cstheme="majorHAnsi"/>
          <w:szCs w:val="24"/>
        </w:rPr>
        <w:t xml:space="preserve">How would 5G technology affect the rollout of new devices? </w:t>
      </w:r>
      <w:r w:rsidR="00BC7440" w:rsidRPr="009A190B">
        <w:rPr>
          <w:rFonts w:asciiTheme="majorHAnsi" w:eastAsia="Times New Roman" w:hAnsiTheme="majorHAnsi" w:cstheme="majorHAnsi"/>
          <w:szCs w:val="24"/>
        </w:rPr>
        <w:t xml:space="preserve"> Can your company provide any assurances that you will use 4G LTE technology for the next year or two or longer? </w:t>
      </w:r>
    </w:p>
    <w:tbl>
      <w:tblPr>
        <w:tblStyle w:val="TableGrid"/>
        <w:tblW w:w="0" w:type="auto"/>
        <w:tblInd w:w="360" w:type="dxa"/>
        <w:tblLook w:val="04A0" w:firstRow="1" w:lastRow="0" w:firstColumn="1" w:lastColumn="0" w:noHBand="0" w:noVBand="1"/>
      </w:tblPr>
      <w:tblGrid>
        <w:gridCol w:w="14030"/>
      </w:tblGrid>
      <w:tr w:rsidR="001844F8" w:rsidRPr="009A190B" w14:paraId="22EE9A25" w14:textId="77777777" w:rsidTr="00D73F7E">
        <w:tc>
          <w:tcPr>
            <w:tcW w:w="14390" w:type="dxa"/>
            <w:shd w:val="clear" w:color="auto" w:fill="D9E2F3" w:themeFill="accent5" w:themeFillTint="33"/>
          </w:tcPr>
          <w:p w14:paraId="2E844242" w14:textId="3E16DBE5" w:rsidR="001844F8" w:rsidRPr="009A190B" w:rsidRDefault="00035C16" w:rsidP="00D73F7E">
            <w:pPr>
              <w:rPr>
                <w:rFonts w:asciiTheme="majorHAnsi" w:hAnsiTheme="majorHAnsi" w:cstheme="majorHAnsi"/>
                <w:szCs w:val="24"/>
              </w:rPr>
            </w:pPr>
            <w:r w:rsidRPr="009A190B">
              <w:rPr>
                <w:rFonts w:asciiTheme="majorHAnsi" w:hAnsiTheme="majorHAnsi" w:cstheme="majorHAnsi"/>
              </w:rPr>
              <w:t>The rollout and availability of 5G will not impede the rollout of new devices. Axon will continue to support 4G LTE since it will be more generally available in rural parts(low density) of Indiana while 5G becomes more available in urban areas(high density). It is the intention of Axon to support devices that support 4G and 5G to ensure the best possible experience for ISP. As part of this proposal Axon is offering the IBR-1700 with dual 4G LTE MC400 modems. As 5G becomes more readily available, at the direction of ISP the swappable MC400 modem could be upgraded with a 5G capable modem, thereby providing 4G and 5G availability in the same router. Until that time, Axon will continue to support 4G LTE.</w:t>
            </w:r>
          </w:p>
        </w:tc>
      </w:tr>
    </w:tbl>
    <w:p w14:paraId="4B24E18E" w14:textId="698889F7" w:rsidR="00A047E9" w:rsidRDefault="00A047E9" w:rsidP="00591548">
      <w:pPr>
        <w:rPr>
          <w:rFonts w:asciiTheme="majorHAnsi" w:hAnsiTheme="majorHAnsi" w:cstheme="majorHAnsi"/>
          <w:szCs w:val="24"/>
        </w:rPr>
      </w:pPr>
    </w:p>
    <w:p w14:paraId="3621A9C3" w14:textId="77777777" w:rsidR="00A047E9" w:rsidRDefault="00A047E9">
      <w:pPr>
        <w:rPr>
          <w:rFonts w:asciiTheme="majorHAnsi" w:hAnsiTheme="majorHAnsi" w:cstheme="majorHAnsi"/>
          <w:szCs w:val="24"/>
        </w:rPr>
      </w:pPr>
      <w:r>
        <w:rPr>
          <w:rFonts w:asciiTheme="majorHAnsi" w:hAnsiTheme="majorHAnsi" w:cstheme="majorHAnsi"/>
          <w:szCs w:val="24"/>
        </w:rPr>
        <w:br w:type="page"/>
      </w:r>
    </w:p>
    <w:p w14:paraId="681761AF" w14:textId="77777777" w:rsidR="001844F8" w:rsidRPr="009A190B" w:rsidRDefault="001844F8" w:rsidP="001844F8">
      <w:pPr>
        <w:pStyle w:val="ListParagraph"/>
        <w:numPr>
          <w:ilvl w:val="0"/>
          <w:numId w:val="3"/>
        </w:numPr>
        <w:spacing w:after="160"/>
        <w:rPr>
          <w:rFonts w:asciiTheme="majorHAnsi" w:hAnsiTheme="majorHAnsi" w:cstheme="majorHAnsi"/>
          <w:bCs/>
          <w:szCs w:val="24"/>
        </w:rPr>
      </w:pPr>
      <w:r w:rsidRPr="009A190B">
        <w:rPr>
          <w:rFonts w:asciiTheme="majorHAnsi" w:hAnsiTheme="majorHAnsi" w:cstheme="majorHAnsi"/>
          <w:bCs/>
          <w:szCs w:val="24"/>
        </w:rPr>
        <w:lastRenderedPageBreak/>
        <w:t xml:space="preserve">Please confirm the State is the sole owner of the data and that at the end of the contract the State will not have to buy back our data.  </w:t>
      </w:r>
    </w:p>
    <w:tbl>
      <w:tblPr>
        <w:tblStyle w:val="TableGrid"/>
        <w:tblW w:w="0" w:type="auto"/>
        <w:tblInd w:w="360" w:type="dxa"/>
        <w:tblLook w:val="04A0" w:firstRow="1" w:lastRow="0" w:firstColumn="1" w:lastColumn="0" w:noHBand="0" w:noVBand="1"/>
      </w:tblPr>
      <w:tblGrid>
        <w:gridCol w:w="14030"/>
      </w:tblGrid>
      <w:tr w:rsidR="001844F8" w:rsidRPr="009A190B" w14:paraId="4750EC76" w14:textId="77777777" w:rsidTr="00D73F7E">
        <w:tc>
          <w:tcPr>
            <w:tcW w:w="14390" w:type="dxa"/>
            <w:shd w:val="clear" w:color="auto" w:fill="D9E2F3" w:themeFill="accent5" w:themeFillTint="33"/>
          </w:tcPr>
          <w:p w14:paraId="538F9B98" w14:textId="34C3D6CF" w:rsidR="001844F8" w:rsidRPr="009A190B" w:rsidRDefault="009A190B" w:rsidP="00D73F7E">
            <w:pPr>
              <w:rPr>
                <w:rFonts w:asciiTheme="majorHAnsi" w:hAnsiTheme="majorHAnsi" w:cstheme="majorHAnsi"/>
                <w:szCs w:val="24"/>
              </w:rPr>
            </w:pPr>
            <w:r w:rsidRPr="009A190B">
              <w:rPr>
                <w:rFonts w:asciiTheme="majorHAnsi" w:hAnsiTheme="majorHAnsi" w:cstheme="majorHAnsi"/>
              </w:rPr>
              <w:t xml:space="preserve">Yes. All digital evidence stored on Axon Evidence is owned by Indiana State Police. Contracts are constructed to ensure that you retain all ownership of your data. Axon is a Data Processor of the agency content. The agency controls and owns all right, title, and interest in and to the </w:t>
            </w:r>
            <w:r w:rsidRPr="009A190B">
              <w:rPr>
                <w:rFonts w:asciiTheme="majorHAnsi" w:hAnsiTheme="majorHAnsi" w:cstheme="majorHAnsi"/>
              </w:rPr>
              <w:t>agency</w:t>
            </w:r>
            <w:r w:rsidRPr="009A190B">
              <w:rPr>
                <w:rFonts w:asciiTheme="majorHAnsi" w:hAnsiTheme="majorHAnsi" w:cstheme="majorHAnsi"/>
              </w:rPr>
              <w:t xml:space="preserve"> content and Axon obtains no rights to the agency’s content. The agnecy is solely responsible for the uploading, sharing, withdrawal, management and deletion of the agency content.</w:t>
            </w:r>
          </w:p>
        </w:tc>
      </w:tr>
    </w:tbl>
    <w:p w14:paraId="399AAB62" w14:textId="77777777" w:rsidR="001844F8" w:rsidRPr="009A190B" w:rsidRDefault="001844F8" w:rsidP="001844F8">
      <w:pPr>
        <w:rPr>
          <w:rFonts w:asciiTheme="majorHAnsi" w:hAnsiTheme="majorHAnsi" w:cstheme="majorHAnsi"/>
          <w:szCs w:val="24"/>
        </w:rPr>
      </w:pPr>
    </w:p>
    <w:p w14:paraId="7DADA24B" w14:textId="3D2DAF75" w:rsidR="001844F8" w:rsidRPr="009A190B" w:rsidRDefault="00BC7440" w:rsidP="00BC7440">
      <w:pPr>
        <w:pStyle w:val="ListParagraph"/>
        <w:numPr>
          <w:ilvl w:val="0"/>
          <w:numId w:val="1"/>
        </w:numPr>
        <w:rPr>
          <w:rFonts w:asciiTheme="majorHAnsi" w:hAnsiTheme="majorHAnsi" w:cstheme="majorHAnsi"/>
          <w:color w:val="000000" w:themeColor="text1"/>
          <w:szCs w:val="24"/>
        </w:rPr>
      </w:pPr>
      <w:r w:rsidRPr="009A190B">
        <w:rPr>
          <w:rFonts w:asciiTheme="majorHAnsi" w:hAnsiTheme="majorHAnsi" w:cstheme="majorHAnsi"/>
          <w:color w:val="000000" w:themeColor="text1"/>
          <w:szCs w:val="24"/>
        </w:rPr>
        <w:t>Confirm that the body camera comes with two (2) SIM cards and the router comes with two (2) SIM cards.  Please confirm that Axon will hold the carrier agreements for all SIM cards and that the State will not have to get their own carrier agreements.</w:t>
      </w:r>
    </w:p>
    <w:tbl>
      <w:tblPr>
        <w:tblStyle w:val="TableGrid"/>
        <w:tblW w:w="0" w:type="auto"/>
        <w:tblInd w:w="360" w:type="dxa"/>
        <w:tblLook w:val="04A0" w:firstRow="1" w:lastRow="0" w:firstColumn="1" w:lastColumn="0" w:noHBand="0" w:noVBand="1"/>
      </w:tblPr>
      <w:tblGrid>
        <w:gridCol w:w="14030"/>
      </w:tblGrid>
      <w:tr w:rsidR="001844F8" w:rsidRPr="009A190B" w14:paraId="474A4F90" w14:textId="77777777" w:rsidTr="00D73F7E">
        <w:tc>
          <w:tcPr>
            <w:tcW w:w="14390" w:type="dxa"/>
            <w:shd w:val="clear" w:color="auto" w:fill="D9E2F3" w:themeFill="accent5" w:themeFillTint="33"/>
          </w:tcPr>
          <w:p w14:paraId="09381355" w14:textId="2AE8847A" w:rsidR="001844F8" w:rsidRPr="009A190B" w:rsidRDefault="009A190B" w:rsidP="00D73F7E">
            <w:pPr>
              <w:rPr>
                <w:rFonts w:asciiTheme="majorHAnsi" w:hAnsiTheme="majorHAnsi" w:cstheme="majorHAnsi"/>
                <w:szCs w:val="24"/>
              </w:rPr>
            </w:pPr>
            <w:r w:rsidRPr="009A190B">
              <w:rPr>
                <w:rFonts w:asciiTheme="majorHAnsi" w:hAnsiTheme="majorHAnsi" w:cstheme="majorHAnsi"/>
              </w:rPr>
              <w:t>The Axon Body 3 camera ships from Axon with an embedded a dual sim-modem with both AT&amp;T FirstNet (Band 14) and Verizon Public Safety Core (Band 13). The CradlePoint IBR-1700 is a dual-modem router that will be supplied with both AT&amp;T FirstNet and Verizon Public Safety Core SIMs. Axon's response includes holding the carrier contracts for the Axon Body 3 camera, it does not currently include holding the carrier agreements for the Cradlepoint IBR-1700. If Indiana State Police deems it necessary, Axon will hold the carrier agreement for the Cradlepoint IBR-1700. This would require a revised proposal to include the carrier fees.</w:t>
            </w:r>
          </w:p>
        </w:tc>
      </w:tr>
    </w:tbl>
    <w:p w14:paraId="08DB1D2F" w14:textId="77777777" w:rsidR="001844F8" w:rsidRPr="009A190B" w:rsidRDefault="001844F8" w:rsidP="001844F8">
      <w:pPr>
        <w:rPr>
          <w:rFonts w:asciiTheme="majorHAnsi" w:hAnsiTheme="majorHAnsi" w:cstheme="majorHAnsi"/>
          <w:szCs w:val="24"/>
        </w:rPr>
      </w:pPr>
    </w:p>
    <w:sectPr w:rsidR="001844F8" w:rsidRPr="009A190B" w:rsidSect="00132878">
      <w:headerReference w:type="default" r:id="rId10"/>
      <w:footerReference w:type="default" r:id="rId1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9F934B" w14:textId="77777777" w:rsidR="009E3CB4" w:rsidRDefault="009E3CB4" w:rsidP="00132878">
      <w:pPr>
        <w:spacing w:line="240" w:lineRule="auto"/>
      </w:pPr>
      <w:r>
        <w:separator/>
      </w:r>
    </w:p>
  </w:endnote>
  <w:endnote w:type="continuationSeparator" w:id="0">
    <w:p w14:paraId="6603440D" w14:textId="77777777" w:rsidR="009E3CB4" w:rsidRDefault="009E3CB4" w:rsidP="00132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0103397"/>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3292F7EF" w14:textId="77777777" w:rsidR="004944D6" w:rsidRPr="004944D6" w:rsidRDefault="004944D6" w:rsidP="004944D6">
            <w:pPr>
              <w:pStyle w:val="Footer"/>
              <w:jc w:val="right"/>
              <w:rPr>
                <w:sz w:val="12"/>
              </w:rPr>
            </w:pPr>
          </w:p>
          <w:p w14:paraId="4B3E4897" w14:textId="77777777" w:rsidR="004944D6" w:rsidRPr="004944D6" w:rsidRDefault="00CA19EA" w:rsidP="00CA19EA">
            <w:pPr>
              <w:pStyle w:val="Footer"/>
              <w:tabs>
                <w:tab w:val="left" w:pos="13395"/>
                <w:tab w:val="right" w:pos="14400"/>
              </w:tabs>
              <w:rPr>
                <w:sz w:val="20"/>
              </w:rPr>
            </w:pPr>
            <w:r>
              <w:rPr>
                <w:sz w:val="20"/>
              </w:rPr>
              <w:tab/>
            </w:r>
            <w:r>
              <w:rPr>
                <w:sz w:val="20"/>
              </w:rPr>
              <w:tab/>
            </w:r>
            <w:r>
              <w:rPr>
                <w:sz w:val="20"/>
              </w:rPr>
              <w:tab/>
            </w:r>
            <w:r>
              <w:rPr>
                <w:sz w:val="20"/>
              </w:rPr>
              <w:tab/>
            </w:r>
            <w:r w:rsidR="004944D6" w:rsidRPr="004944D6">
              <w:rPr>
                <w:sz w:val="20"/>
              </w:rPr>
              <w:t xml:space="preserve">Page </w:t>
            </w:r>
            <w:r w:rsidR="004944D6" w:rsidRPr="004944D6">
              <w:rPr>
                <w:b/>
                <w:bCs/>
                <w:sz w:val="20"/>
                <w:szCs w:val="24"/>
              </w:rPr>
              <w:fldChar w:fldCharType="begin"/>
            </w:r>
            <w:r w:rsidR="004944D6" w:rsidRPr="004944D6">
              <w:rPr>
                <w:b/>
                <w:bCs/>
                <w:sz w:val="20"/>
              </w:rPr>
              <w:instrText xml:space="preserve"> PAGE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r w:rsidR="004944D6" w:rsidRPr="004944D6">
              <w:rPr>
                <w:sz w:val="20"/>
              </w:rPr>
              <w:t xml:space="preserve"> of </w:t>
            </w:r>
            <w:r w:rsidR="004944D6" w:rsidRPr="004944D6">
              <w:rPr>
                <w:b/>
                <w:bCs/>
                <w:sz w:val="20"/>
                <w:szCs w:val="24"/>
              </w:rPr>
              <w:fldChar w:fldCharType="begin"/>
            </w:r>
            <w:r w:rsidR="004944D6" w:rsidRPr="004944D6">
              <w:rPr>
                <w:b/>
                <w:bCs/>
                <w:sz w:val="20"/>
              </w:rPr>
              <w:instrText xml:space="preserve"> NUMPAGES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4066F5" w14:textId="77777777" w:rsidR="009E3CB4" w:rsidRDefault="009E3CB4" w:rsidP="00132878">
      <w:pPr>
        <w:spacing w:line="240" w:lineRule="auto"/>
      </w:pPr>
      <w:r>
        <w:separator/>
      </w:r>
    </w:p>
  </w:footnote>
  <w:footnote w:type="continuationSeparator" w:id="0">
    <w:p w14:paraId="38DAAAC7" w14:textId="77777777" w:rsidR="009E3CB4" w:rsidRDefault="009E3CB4" w:rsidP="001328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57F16B" w14:textId="1F22554B" w:rsidR="00B03739" w:rsidRPr="00591548" w:rsidRDefault="00591548" w:rsidP="00B03739">
    <w:pPr>
      <w:pStyle w:val="Header"/>
      <w:jc w:val="center"/>
      <w:rPr>
        <w:b/>
        <w:smallCaps/>
        <w:u w:val="single"/>
      </w:rPr>
    </w:pPr>
    <w:r w:rsidRPr="00591548">
      <w:rPr>
        <w:b/>
        <w:smallCaps/>
        <w:u w:val="single"/>
      </w:rPr>
      <w:t>RFP 100-21-66665</w:t>
    </w:r>
    <w:r w:rsidR="00B03739" w:rsidRPr="00591548">
      <w:rPr>
        <w:b/>
        <w:smallCaps/>
        <w:u w:val="single"/>
      </w:rPr>
      <w:t xml:space="preserve"> Clarifications</w:t>
    </w:r>
    <w:r w:rsidR="00BC7440">
      <w:rPr>
        <w:b/>
        <w:smallCaps/>
        <w:u w:val="single"/>
      </w:rPr>
      <w:t xml:space="preserve"> - ROUND 2</w:t>
    </w:r>
  </w:p>
  <w:p w14:paraId="05D5928E" w14:textId="77777777" w:rsidR="00132878" w:rsidRPr="00132878" w:rsidRDefault="00132878" w:rsidP="00132878">
    <w:pPr>
      <w:pStyle w:val="Header"/>
      <w:jc w:val="center"/>
      <w:rPr>
        <w:b/>
        <w:sz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B6B7E"/>
    <w:multiLevelType w:val="hybridMultilevel"/>
    <w:tmpl w:val="99745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8C04BD"/>
    <w:multiLevelType w:val="hybridMultilevel"/>
    <w:tmpl w:val="E68C4A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89E33FB"/>
    <w:multiLevelType w:val="hybridMultilevel"/>
    <w:tmpl w:val="24788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QzNzIxtbCwNLQ0M7ZU0lEKTi0uzszPAykwrAUAbfD04CwAAAA="/>
  </w:docVars>
  <w:rsids>
    <w:rsidRoot w:val="00132878"/>
    <w:rsid w:val="00021A9C"/>
    <w:rsid w:val="00035C16"/>
    <w:rsid w:val="00044EEA"/>
    <w:rsid w:val="000472CB"/>
    <w:rsid w:val="00056904"/>
    <w:rsid w:val="00082C7C"/>
    <w:rsid w:val="00106777"/>
    <w:rsid w:val="0012715B"/>
    <w:rsid w:val="00132878"/>
    <w:rsid w:val="00134107"/>
    <w:rsid w:val="00140C74"/>
    <w:rsid w:val="001844F8"/>
    <w:rsid w:val="0019766A"/>
    <w:rsid w:val="001D35D0"/>
    <w:rsid w:val="002A0BAA"/>
    <w:rsid w:val="002C14BB"/>
    <w:rsid w:val="003156FE"/>
    <w:rsid w:val="003B46CA"/>
    <w:rsid w:val="00414D33"/>
    <w:rsid w:val="0043600A"/>
    <w:rsid w:val="004944D6"/>
    <w:rsid w:val="005462A9"/>
    <w:rsid w:val="00582B16"/>
    <w:rsid w:val="00591548"/>
    <w:rsid w:val="00593863"/>
    <w:rsid w:val="005B4AA9"/>
    <w:rsid w:val="005C7BC1"/>
    <w:rsid w:val="005E02CB"/>
    <w:rsid w:val="00613D4B"/>
    <w:rsid w:val="00632E8C"/>
    <w:rsid w:val="00685FD0"/>
    <w:rsid w:val="00695E7C"/>
    <w:rsid w:val="006E55FC"/>
    <w:rsid w:val="00766082"/>
    <w:rsid w:val="007A3CBD"/>
    <w:rsid w:val="007F7905"/>
    <w:rsid w:val="00867C4B"/>
    <w:rsid w:val="008755A1"/>
    <w:rsid w:val="008B10B1"/>
    <w:rsid w:val="0092693A"/>
    <w:rsid w:val="00931692"/>
    <w:rsid w:val="00986504"/>
    <w:rsid w:val="009A190B"/>
    <w:rsid w:val="009D764A"/>
    <w:rsid w:val="009E3CB4"/>
    <w:rsid w:val="00A047E9"/>
    <w:rsid w:val="00A15A8C"/>
    <w:rsid w:val="00AB4972"/>
    <w:rsid w:val="00AF4858"/>
    <w:rsid w:val="00B03739"/>
    <w:rsid w:val="00B17199"/>
    <w:rsid w:val="00B80BE2"/>
    <w:rsid w:val="00B96F3C"/>
    <w:rsid w:val="00BB589F"/>
    <w:rsid w:val="00BC7440"/>
    <w:rsid w:val="00BF3AFB"/>
    <w:rsid w:val="00C14FBF"/>
    <w:rsid w:val="00C43DF7"/>
    <w:rsid w:val="00C458ED"/>
    <w:rsid w:val="00C7207F"/>
    <w:rsid w:val="00C73E3A"/>
    <w:rsid w:val="00C81FE1"/>
    <w:rsid w:val="00C84BF6"/>
    <w:rsid w:val="00CA19EA"/>
    <w:rsid w:val="00CA57A4"/>
    <w:rsid w:val="00CB41E9"/>
    <w:rsid w:val="00E33417"/>
    <w:rsid w:val="00E371B1"/>
    <w:rsid w:val="00E51646"/>
    <w:rsid w:val="00E719AD"/>
    <w:rsid w:val="00E86145"/>
    <w:rsid w:val="00FB4EEB"/>
    <w:rsid w:val="00FD3C0C"/>
    <w:rsid w:val="00FF23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7A64952"/>
  <w15:chartTrackingRefBased/>
  <w15:docId w15:val="{96D57219-7EC3-4A8A-A4BE-77C4C234F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link w:val="ListParagraphChar"/>
    <w:uiPriority w:val="1"/>
    <w:qFormat/>
    <w:rsid w:val="00C43DF7"/>
    <w:pPr>
      <w:ind w:left="720"/>
      <w:contextualSpacing/>
    </w:pPr>
  </w:style>
  <w:style w:type="character" w:customStyle="1" w:styleId="ListParagraphChar">
    <w:name w:val="List Paragraph Char"/>
    <w:link w:val="ListParagraph"/>
    <w:uiPriority w:val="1"/>
    <w:qFormat/>
    <w:locked/>
    <w:rsid w:val="00591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2282051">
      <w:bodyDiv w:val="1"/>
      <w:marLeft w:val="0"/>
      <w:marRight w:val="0"/>
      <w:marTop w:val="0"/>
      <w:marBottom w:val="0"/>
      <w:divBdr>
        <w:top w:val="none" w:sz="0" w:space="0" w:color="auto"/>
        <w:left w:val="none" w:sz="0" w:space="0" w:color="auto"/>
        <w:bottom w:val="none" w:sz="0" w:space="0" w:color="auto"/>
        <w:right w:val="none" w:sz="0" w:space="0" w:color="auto"/>
      </w:divBdr>
    </w:div>
    <w:div w:id="1484006884">
      <w:bodyDiv w:val="1"/>
      <w:marLeft w:val="0"/>
      <w:marRight w:val="0"/>
      <w:marTop w:val="0"/>
      <w:marBottom w:val="0"/>
      <w:divBdr>
        <w:top w:val="none" w:sz="0" w:space="0" w:color="auto"/>
        <w:left w:val="none" w:sz="0" w:space="0" w:color="auto"/>
        <w:bottom w:val="none" w:sz="0" w:space="0" w:color="auto"/>
        <w:right w:val="none" w:sz="0" w:space="0" w:color="auto"/>
      </w:divBdr>
    </w:div>
    <w:div w:id="1542671340">
      <w:bodyDiv w:val="1"/>
      <w:marLeft w:val="0"/>
      <w:marRight w:val="0"/>
      <w:marTop w:val="0"/>
      <w:marBottom w:val="0"/>
      <w:divBdr>
        <w:top w:val="none" w:sz="0" w:space="0" w:color="auto"/>
        <w:left w:val="none" w:sz="0" w:space="0" w:color="auto"/>
        <w:bottom w:val="none" w:sz="0" w:space="0" w:color="auto"/>
        <w:right w:val="none" w:sz="0" w:space="0" w:color="auto"/>
      </w:divBdr>
    </w:div>
    <w:div w:id="1652252891">
      <w:bodyDiv w:val="1"/>
      <w:marLeft w:val="0"/>
      <w:marRight w:val="0"/>
      <w:marTop w:val="0"/>
      <w:marBottom w:val="0"/>
      <w:divBdr>
        <w:top w:val="none" w:sz="0" w:space="0" w:color="auto"/>
        <w:left w:val="none" w:sz="0" w:space="0" w:color="auto"/>
        <w:bottom w:val="none" w:sz="0" w:space="0" w:color="auto"/>
        <w:right w:val="none" w:sz="0" w:space="0" w:color="auto"/>
      </w:divBdr>
    </w:div>
    <w:div w:id="1814442883">
      <w:bodyDiv w:val="1"/>
      <w:marLeft w:val="0"/>
      <w:marRight w:val="0"/>
      <w:marTop w:val="0"/>
      <w:marBottom w:val="0"/>
      <w:divBdr>
        <w:top w:val="none" w:sz="0" w:space="0" w:color="auto"/>
        <w:left w:val="none" w:sz="0" w:space="0" w:color="auto"/>
        <w:bottom w:val="none" w:sz="0" w:space="0" w:color="auto"/>
        <w:right w:val="none" w:sz="0" w:space="0" w:color="auto"/>
      </w:divBdr>
      <w:divsChild>
        <w:div w:id="38944535">
          <w:marLeft w:val="0"/>
          <w:marRight w:val="0"/>
          <w:marTop w:val="0"/>
          <w:marBottom w:val="0"/>
          <w:divBdr>
            <w:top w:val="none" w:sz="0" w:space="0" w:color="auto"/>
            <w:left w:val="none" w:sz="0" w:space="0" w:color="auto"/>
            <w:bottom w:val="none" w:sz="0" w:space="0" w:color="auto"/>
            <w:right w:val="none" w:sz="0" w:space="0" w:color="auto"/>
          </w:divBdr>
        </w:div>
      </w:divsChild>
    </w:div>
    <w:div w:id="207411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49BA64476B1F41B7250DE5E08A0F52" ma:contentTypeVersion="14" ma:contentTypeDescription="Create a new document." ma:contentTypeScope="" ma:versionID="ecb9803ab6fc5c51af6d724eafa1192f">
  <xsd:schema xmlns:xsd="http://www.w3.org/2001/XMLSchema" xmlns:xs="http://www.w3.org/2001/XMLSchema" xmlns:p="http://schemas.microsoft.com/office/2006/metadata/properties" xmlns:ns1="http://schemas.microsoft.com/sharepoint/v3" xmlns:ns2="fb0118ad-84c4-4230-82d0-1dd00535cc61" xmlns:ns3="f613a829-b4c1-4cd7-9179-165b3308129d" targetNamespace="http://schemas.microsoft.com/office/2006/metadata/properties" ma:root="true" ma:fieldsID="9f190b3770e8dd2c6ac625dcf4a7a7cd" ns1:_="" ns2:_="" ns3:_="">
    <xsd:import namespace="http://schemas.microsoft.com/sharepoint/v3"/>
    <xsd:import namespace="fb0118ad-84c4-4230-82d0-1dd00535cc61"/>
    <xsd:import namespace="f613a829-b4c1-4cd7-9179-165b3308129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0118ad-84c4-4230-82d0-1dd00535c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13a829-b4c1-4cd7-9179-165b3308129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24B1C02-318F-446B-9FE0-816011F59751}">
  <ds:schemaRefs>
    <ds:schemaRef ds:uri="http://schemas.microsoft.com/sharepoint/v3/contenttype/forms"/>
  </ds:schemaRefs>
</ds:datastoreItem>
</file>

<file path=customXml/itemProps2.xml><?xml version="1.0" encoding="utf-8"?>
<ds:datastoreItem xmlns:ds="http://schemas.openxmlformats.org/officeDocument/2006/customXml" ds:itemID="{2A1C1CF3-3E84-49CE-B607-C8E675771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0118ad-84c4-4230-82d0-1dd00535cc61"/>
    <ds:schemaRef ds:uri="f613a829-b4c1-4cd7-9179-165b330812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10FD07-E0FB-4047-BF40-AFDD78960329}">
  <ds:schemaRefs>
    <ds:schemaRef ds:uri="http://www.w3.org/XML/1998/namespace"/>
    <ds:schemaRef ds:uri="http://schemas.openxmlformats.org/package/2006/metadata/core-properties"/>
    <ds:schemaRef ds:uri="http://purl.org/dc/terms/"/>
    <ds:schemaRef ds:uri="fb0118ad-84c4-4230-82d0-1dd00535cc61"/>
    <ds:schemaRef ds:uri="http://schemas.microsoft.com/office/2006/metadata/properties"/>
    <ds:schemaRef ds:uri="http://schemas.microsoft.com/sharepoint/v3"/>
    <ds:schemaRef ds:uri="http://schemas.microsoft.com/office/2006/documentManagement/types"/>
    <ds:schemaRef ds:uri="http://purl.org/dc/elements/1.1/"/>
    <ds:schemaRef ds:uri="http://schemas.microsoft.com/office/infopath/2007/PartnerControls"/>
    <ds:schemaRef ds:uri="f613a829-b4c1-4cd7-9179-165b3308129d"/>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Pages>
  <Words>1217</Words>
  <Characters>6942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 Helmer IV | IDOA</dc:creator>
  <cp:keywords/>
  <dc:description/>
  <cp:lastModifiedBy>Julia Leibelshon</cp:lastModifiedBy>
  <cp:revision>27</cp:revision>
  <dcterms:created xsi:type="dcterms:W3CDTF">2017-01-17T19:28:00Z</dcterms:created>
  <dcterms:modified xsi:type="dcterms:W3CDTF">2021-03-31T13:57:00Z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0x0101008E49BA64476B1F41B7250DE5E08A0F52</vt:lpwstr>
  </property>
</Properties>
</file>